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0"/>
        <w:tabs>
          <w:tab w:val="right" w:pos="9639"/>
        </w:tabs>
        <w:spacing w:after="0"/>
        <w:rPr>
          <w:b/>
          <w:i/>
          <w:sz w:val="28"/>
        </w:rPr>
      </w:pPr>
      <w:r>
        <w:rPr>
          <w:b/>
          <w:sz w:val="24"/>
        </w:rPr>
        <w:t>3GPP TSG-RAN WG2 Meeting #10</w:t>
      </w:r>
      <w:r>
        <w:rPr>
          <w:rFonts w:hint="eastAsia" w:eastAsia="宋体"/>
          <w:b/>
          <w:sz w:val="24"/>
          <w:lang w:val="en-US" w:eastAsia="zh-CN"/>
        </w:rPr>
        <w:t>4</w:t>
      </w:r>
      <w:r>
        <w:rPr>
          <w:b/>
          <w:i/>
          <w:sz w:val="28"/>
        </w:rPr>
        <w:tab/>
      </w:r>
      <w:r>
        <w:rPr>
          <w:b/>
          <w:i/>
          <w:sz w:val="28"/>
        </w:rPr>
        <w:t xml:space="preserve"> </w:t>
      </w:r>
      <w:r>
        <w:rPr>
          <w:rFonts w:hint="eastAsia"/>
          <w:b/>
          <w:sz w:val="28"/>
        </w:rPr>
        <w:t>R2-1817063</w:t>
      </w:r>
    </w:p>
    <w:p>
      <w:pPr>
        <w:pStyle w:val="280"/>
        <w:rPr>
          <w:b/>
          <w:sz w:val="24"/>
        </w:rPr>
      </w:pPr>
      <w:r>
        <w:rPr>
          <w:b/>
          <w:sz w:val="24"/>
          <w:szCs w:val="24"/>
        </w:rPr>
        <w:t>Spokane, US, 12 – 16 November 2018</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 xml:space="preserve">Source: </w:t>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ZTE Corporation</w:t>
      </w:r>
      <w:r>
        <w:rPr>
          <w:rFonts w:hint="eastAsia" w:ascii="Arial" w:hAnsi="Arial" w:cs="Arial"/>
          <w:b/>
          <w:bCs/>
          <w:snapToGrid w:val="0"/>
          <w:kern w:val="0"/>
          <w:sz w:val="28"/>
          <w:szCs w:val="28"/>
          <w:highlight w:val="none"/>
          <w:lang w:val="en-US" w:eastAsia="zh-CN"/>
        </w:rPr>
        <w:t>, Sanechips</w:t>
      </w:r>
    </w:p>
    <w:p>
      <w:pPr>
        <w:overflowPunct w:val="0"/>
        <w:autoSpaceDE w:val="0"/>
        <w:autoSpaceDN w:val="0"/>
        <w:adjustRightInd w:val="0"/>
        <w:snapToGrid w:val="0"/>
        <w:ind w:left="2100" w:hanging="210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 xml:space="preserve">Title: </w:t>
      </w:r>
      <w:r>
        <w:rPr>
          <w:rFonts w:ascii="Arial" w:hAnsi="Arial" w:cs="Arial"/>
          <w:b/>
          <w:bCs/>
          <w:snapToGrid w:val="0"/>
          <w:kern w:val="0"/>
          <w:sz w:val="28"/>
          <w:szCs w:val="28"/>
          <w:highlight w:val="none"/>
        </w:rPr>
        <w:tab/>
      </w:r>
      <w:r>
        <w:rPr>
          <w:rFonts w:hint="eastAsia" w:ascii="Arial" w:hAnsi="Arial" w:cs="Arial"/>
          <w:b/>
          <w:bCs/>
          <w:snapToGrid w:val="0"/>
          <w:kern w:val="0"/>
          <w:sz w:val="28"/>
          <w:szCs w:val="28"/>
          <w:highlight w:val="none"/>
          <w:lang w:val="en-US" w:eastAsia="zh-CN"/>
        </w:rPr>
        <w:t>RACH capacity analysis in NTN</w:t>
      </w:r>
    </w:p>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highlight w:val="none"/>
          <w:lang w:val="en-US" w:eastAsia="zh-CN"/>
        </w:rPr>
      </w:pPr>
      <w:r>
        <w:rPr>
          <w:rFonts w:ascii="Arial" w:hAnsi="Arial" w:cs="Arial"/>
          <w:b/>
          <w:bCs/>
          <w:snapToGrid w:val="0"/>
          <w:kern w:val="0"/>
          <w:sz w:val="28"/>
          <w:szCs w:val="28"/>
          <w:highlight w:val="none"/>
        </w:rPr>
        <w:t>Agenda item:</w:t>
      </w:r>
      <w:r>
        <w:rPr>
          <w:rFonts w:ascii="Arial" w:hAnsi="Arial" w:cs="Arial"/>
          <w:b/>
          <w:bCs/>
          <w:snapToGrid w:val="0"/>
          <w:kern w:val="0"/>
          <w:sz w:val="28"/>
          <w:szCs w:val="28"/>
          <w:highlight w:val="none"/>
        </w:rPr>
        <w:tab/>
      </w:r>
      <w:bookmarkStart w:id="0" w:name="Source"/>
      <w:bookmarkEnd w:id="0"/>
      <w:r>
        <w:rPr>
          <w:rFonts w:hint="eastAsia" w:ascii="Arial" w:hAnsi="Arial" w:cs="Arial"/>
          <w:b/>
          <w:bCs/>
          <w:snapToGrid w:val="0"/>
          <w:kern w:val="0"/>
          <w:sz w:val="28"/>
          <w:szCs w:val="28"/>
          <w:highlight w:val="none"/>
          <w:lang w:val="en-US" w:eastAsia="zh-CN"/>
        </w:rPr>
        <w:t>11.6.3.1</w:t>
      </w:r>
    </w:p>
    <w:p>
      <w:pPr>
        <w:overflowPunct w:val="0"/>
        <w:autoSpaceDE w:val="0"/>
        <w:autoSpaceDN w:val="0"/>
        <w:adjustRightInd w:val="0"/>
        <w:snapToGrid w:val="0"/>
        <w:jc w:val="left"/>
        <w:textAlignment w:val="baseline"/>
        <w:rPr>
          <w:rFonts w:ascii="Arial" w:hAnsi="Arial" w:cs="Arial"/>
          <w:b/>
          <w:bCs/>
          <w:snapToGrid w:val="0"/>
          <w:kern w:val="0"/>
          <w:sz w:val="28"/>
          <w:szCs w:val="28"/>
          <w:highlight w:val="none"/>
        </w:rPr>
      </w:pPr>
      <w:r>
        <w:rPr>
          <w:rFonts w:ascii="Arial" w:hAnsi="Arial" w:cs="Arial"/>
          <w:b/>
          <w:bCs/>
          <w:snapToGrid w:val="0"/>
          <w:kern w:val="0"/>
          <w:sz w:val="28"/>
          <w:szCs w:val="28"/>
          <w:highlight w:val="none"/>
        </w:rPr>
        <w:t>Document for:</w:t>
      </w:r>
      <w:bookmarkStart w:id="1" w:name="DocumentFor"/>
      <w:bookmarkEnd w:id="1"/>
      <w:r>
        <w:rPr>
          <w:rFonts w:hint="eastAsia" w:ascii="Arial" w:hAnsi="Arial" w:cs="Arial"/>
          <w:b/>
          <w:bCs/>
          <w:snapToGrid w:val="0"/>
          <w:kern w:val="0"/>
          <w:sz w:val="28"/>
          <w:szCs w:val="28"/>
          <w:highlight w:val="none"/>
        </w:rPr>
        <w:t xml:space="preserve"> </w:t>
      </w:r>
      <w:r>
        <w:rPr>
          <w:rFonts w:ascii="Arial" w:hAnsi="Arial" w:cs="Arial"/>
          <w:b/>
          <w:bCs/>
          <w:snapToGrid w:val="0"/>
          <w:kern w:val="0"/>
          <w:sz w:val="28"/>
          <w:szCs w:val="28"/>
          <w:highlight w:val="none"/>
        </w:rPr>
        <w:tab/>
      </w:r>
      <w:r>
        <w:rPr>
          <w:rFonts w:ascii="Arial" w:hAnsi="Arial" w:cs="Arial"/>
          <w:b/>
          <w:bCs/>
          <w:snapToGrid w:val="0"/>
          <w:kern w:val="0"/>
          <w:sz w:val="28"/>
          <w:szCs w:val="28"/>
          <w:highlight w:val="none"/>
        </w:rPr>
        <w:t>Discussion</w:t>
      </w:r>
      <w:r>
        <w:rPr>
          <w:rFonts w:hint="eastAsia" w:ascii="Arial" w:hAnsi="Arial" w:cs="Arial"/>
          <w:b/>
          <w:bCs/>
          <w:snapToGrid w:val="0"/>
          <w:kern w:val="0"/>
          <w:sz w:val="28"/>
          <w:szCs w:val="28"/>
          <w:highlight w:val="none"/>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eastAsiaTheme="minorEastAsia"/>
          <w:lang w:val="en-US" w:eastAsia="zh-CN"/>
        </w:rPr>
      </w:pPr>
      <w:r>
        <w:rPr>
          <w:rFonts w:hint="eastAsia"/>
          <w:lang w:val="en-US" w:eastAsia="zh-CN"/>
        </w:rPr>
        <w:t xml:space="preserve">A new SI for Non Terrestrial Networks has been agreed in RP-181370 to </w:t>
      </w:r>
      <w:r>
        <w:rPr>
          <w:bCs/>
        </w:rPr>
        <w:t>study a set of necessary features/adaptations enabling the operation of NR protocol in non-terrestrial networks for 3GPP Release 16 with a priority on satellite access.</w:t>
      </w:r>
      <w:r>
        <w:rPr>
          <w:rFonts w:hint="eastAsia"/>
          <w:bCs/>
          <w:lang w:val="en-US" w:eastAsia="zh-CN"/>
        </w:rPr>
        <w:t xml:space="preserve"> In this contribution, the RACH capacity analysis is provided for NTN.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eastAsia="宋体"/>
          <w:lang w:val="en-US" w:eastAsia="zh-CN"/>
        </w:rPr>
      </w:pPr>
      <w:r>
        <w:rPr>
          <w:rFonts w:hint="eastAsia" w:eastAsia="宋体"/>
          <w:lang w:val="en-US" w:eastAsia="zh-CN"/>
        </w:rPr>
        <w:t>In TS 38.211, RACH definition in LTE is inherited. To be more specific, the total number of preambles for RACH per cell is still 64. Since the cell size in NTN scenarios is expected to be much larger than that in a terrestrial NR cell, it is necessary to revisit the RACH capacity in NTN scenarios.</w:t>
      </w:r>
    </w:p>
    <w:p>
      <w:pPr>
        <w:pStyle w:val="3"/>
        <w:numPr>
          <w:ilvl w:val="1"/>
          <w:numId w:val="3"/>
        </w:numPr>
        <w:ind w:left="567" w:leftChars="0" w:hanging="567" w:firstLineChars="0"/>
        <w:rPr>
          <w:b w:val="0"/>
          <w:bCs w:val="0"/>
          <w:sz w:val="30"/>
          <w:szCs w:val="30"/>
          <w:lang w:val="en-US" w:eastAsia="zh-CN"/>
        </w:rPr>
      </w:pPr>
      <w:r>
        <w:rPr>
          <w:rFonts w:hint="eastAsia"/>
          <w:b w:val="0"/>
          <w:bCs w:val="0"/>
          <w:sz w:val="30"/>
          <w:szCs w:val="30"/>
          <w:lang w:val="en-US" w:eastAsia="zh-CN"/>
        </w:rPr>
        <w:t>Possible cell size in NTN</w:t>
      </w:r>
    </w:p>
    <w:p>
      <w:pPr>
        <w:rPr>
          <w:rFonts w:hint="eastAsia" w:eastAsia="宋体"/>
          <w:lang w:val="en-US" w:eastAsia="zh-CN"/>
        </w:rPr>
      </w:pPr>
      <w:r>
        <w:rPr>
          <w:rFonts w:hint="eastAsia" w:eastAsia="宋体"/>
          <w:lang w:val="en-US" w:eastAsia="zh-CN"/>
        </w:rPr>
        <w:t xml:space="preserve">Firstly, descriptions on the beam foot print size of </w:t>
      </w:r>
      <w:r>
        <w:rPr>
          <w:rFonts w:hint="eastAsia"/>
          <w:lang w:val="en-US" w:eastAsia="zh-CN"/>
        </w:rPr>
        <w:t>s</w:t>
      </w:r>
      <w:r>
        <w:rPr>
          <w:lang w:eastAsia="zh-CN"/>
        </w:rPr>
        <w:t xml:space="preserve">atellite </w:t>
      </w:r>
      <w:r>
        <w:rPr>
          <w:rFonts w:hint="eastAsia" w:eastAsia="宋体"/>
          <w:lang w:val="en-US" w:eastAsia="zh-CN"/>
        </w:rPr>
        <w:t xml:space="preserve">can be found in TR 38.811 as follows. </w:t>
      </w:r>
    </w:p>
    <w:p>
      <w:pPr>
        <w:rPr>
          <w:rFonts w:hint="eastAsia" w:eastAsia="宋体"/>
          <w:lang w:val="en-US" w:eastAsia="zh-CN"/>
        </w:rPr>
      </w:pPr>
      <w:r>
        <w:rPr>
          <w:rFonts w:hint="eastAsia" w:eastAsia="宋体"/>
          <w:lang w:val="en-US" w:eastAsia="zh-CN"/>
        </w:rPr>
        <w:t>--------------------------------------------------- From 38.811 Start -----------------------------------------------------</w:t>
      </w:r>
    </w:p>
    <w:p>
      <w:pPr>
        <w:pStyle w:val="95"/>
        <w:ind w:left="0" w:firstLine="0"/>
        <w:jc w:val="both"/>
        <w:rPr>
          <w:sz w:val="22"/>
          <w:szCs w:val="22"/>
          <w:lang w:eastAsia="zh-CN"/>
        </w:rPr>
      </w:pPr>
      <w:bookmarkStart w:id="2" w:name="_Toc509391452"/>
      <w:bookmarkStart w:id="3" w:name="_Toc509391618"/>
      <w:bookmarkStart w:id="4" w:name="_Toc509391541"/>
      <w:bookmarkStart w:id="5" w:name="_Toc509392155"/>
      <w:bookmarkStart w:id="6" w:name="_Toc509391700"/>
      <w:bookmarkStart w:id="7" w:name="_Toc494837625"/>
      <w:bookmarkStart w:id="8" w:name="_Toc516793145"/>
      <w:bookmarkStart w:id="9" w:name="_Toc509391305"/>
      <w:r>
        <w:rPr>
          <w:sz w:val="22"/>
          <w:szCs w:val="22"/>
          <w:lang w:eastAsia="zh-CN"/>
        </w:rPr>
        <w:t>4.6</w:t>
      </w:r>
      <w:r>
        <w:rPr>
          <w:sz w:val="22"/>
          <w:szCs w:val="22"/>
          <w:lang w:eastAsia="zh-CN"/>
        </w:rPr>
        <w:tab/>
      </w:r>
      <w:r>
        <w:rPr>
          <w:sz w:val="22"/>
          <w:szCs w:val="22"/>
          <w:lang w:eastAsia="zh-CN"/>
        </w:rPr>
        <w:t>Coverage pattern of NTN</w:t>
      </w:r>
      <w:bookmarkEnd w:id="2"/>
      <w:bookmarkEnd w:id="3"/>
      <w:bookmarkEnd w:id="4"/>
      <w:bookmarkEnd w:id="5"/>
      <w:bookmarkEnd w:id="6"/>
      <w:bookmarkEnd w:id="7"/>
      <w:bookmarkEnd w:id="8"/>
      <w:bookmarkEnd w:id="9"/>
    </w:p>
    <w:p>
      <w:pPr>
        <w:pStyle w:val="95"/>
        <w:ind w:left="0" w:firstLine="0"/>
        <w:jc w:val="both"/>
        <w:rPr>
          <w:lang w:eastAsia="zh-CN"/>
        </w:rPr>
      </w:pPr>
      <w:r>
        <w:rPr>
          <w:lang w:eastAsia="zh-CN"/>
        </w:rPr>
        <w:t>Satellite or aerial vehicles typically generate several beams over a given area. The foot print of the beams are typically elliptic shape.</w:t>
      </w:r>
    </w:p>
    <w:p>
      <w:pPr>
        <w:pStyle w:val="95"/>
        <w:ind w:left="0" w:firstLine="0"/>
        <w:jc w:val="both"/>
        <w:rPr>
          <w:lang w:eastAsia="zh-CN"/>
        </w:rPr>
      </w:pPr>
      <w:r>
        <w:rPr>
          <w:lang w:eastAsia="zh-CN"/>
        </w:rPr>
        <w:t>The beam footprint may be moving over the earth with the satellite or the aerial vehicle motion on its orbit. Alternatively, the beam foot print may be earth fixed, in such case some beam pointing mechanisms (mechanical or electronic steering feature) will compensate for the satellite or the aerial vehicle motion.</w:t>
      </w:r>
    </w:p>
    <w:p>
      <w:pPr>
        <w:pStyle w:val="89"/>
        <w:rPr>
          <w:color w:val="auto"/>
        </w:rPr>
      </w:pPr>
      <w:r>
        <w:rPr>
          <w:color w:val="auto"/>
        </w:rPr>
        <w:t>Table 4.6-1: Typical beam foot print size</w:t>
      </w:r>
    </w:p>
    <w:tbl>
      <w:tblPr>
        <w:tblStyle w:val="65"/>
        <w:tblW w:w="6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9"/>
        <w:gridCol w:w="1634"/>
        <w:gridCol w:w="163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tcMar>
              <w:top w:w="0" w:type="dxa"/>
              <w:left w:w="108" w:type="dxa"/>
              <w:bottom w:w="0" w:type="dxa"/>
              <w:right w:w="108" w:type="dxa"/>
            </w:tcMar>
            <w:vAlign w:val="center"/>
          </w:tcPr>
          <w:p>
            <w:pPr>
              <w:pStyle w:val="200"/>
              <w:rPr>
                <w:rFonts w:eastAsia="Malgun Gothic"/>
              </w:rPr>
            </w:pPr>
            <w:r>
              <w:rPr>
                <w:rFonts w:eastAsia="Malgun Gothic"/>
              </w:rPr>
              <w:t>Attributes</w:t>
            </w:r>
          </w:p>
        </w:tc>
        <w:tc>
          <w:tcPr>
            <w:tcW w:w="1634" w:type="dxa"/>
            <w:vAlign w:val="center"/>
          </w:tcPr>
          <w:p>
            <w:pPr>
              <w:pStyle w:val="200"/>
              <w:rPr>
                <w:rFonts w:eastAsia="Malgun Gothic"/>
              </w:rPr>
            </w:pPr>
            <w:r>
              <w:rPr>
                <w:rFonts w:eastAsia="Malgun Gothic"/>
              </w:rPr>
              <w:t>GEO</w:t>
            </w:r>
          </w:p>
        </w:tc>
        <w:tc>
          <w:tcPr>
            <w:tcW w:w="1633" w:type="dxa"/>
            <w:vAlign w:val="center"/>
          </w:tcPr>
          <w:p>
            <w:pPr>
              <w:pStyle w:val="200"/>
              <w:rPr>
                <w:rFonts w:eastAsia="Malgun Gothic"/>
              </w:rPr>
            </w:pPr>
            <w:r>
              <w:rPr>
                <w:rFonts w:eastAsia="Malgun Gothic"/>
              </w:rPr>
              <w:t>Non-GEO</w:t>
            </w:r>
          </w:p>
        </w:tc>
        <w:tc>
          <w:tcPr>
            <w:tcW w:w="1626" w:type="dxa"/>
            <w:vAlign w:val="center"/>
          </w:tcPr>
          <w:p>
            <w:pPr>
              <w:pStyle w:val="200"/>
              <w:rPr>
                <w:rFonts w:eastAsia="Malgun Gothic"/>
              </w:rPr>
            </w:pPr>
            <w:r>
              <w:rPr>
                <w:rFonts w:eastAsia="Malgun Gothic"/>
              </w:rPr>
              <w:t>Aerial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shd w:val="clear" w:color="auto" w:fill="FFFFFF"/>
            <w:tcMar>
              <w:top w:w="0" w:type="dxa"/>
              <w:left w:w="108" w:type="dxa"/>
              <w:bottom w:w="0" w:type="dxa"/>
              <w:right w:w="108" w:type="dxa"/>
            </w:tcMar>
            <w:vAlign w:val="top"/>
          </w:tcPr>
          <w:p>
            <w:pPr>
              <w:pStyle w:val="105"/>
            </w:pPr>
            <w:r>
              <w:t>Beam foot print size in diameter</w:t>
            </w:r>
          </w:p>
        </w:tc>
        <w:tc>
          <w:tcPr>
            <w:tcW w:w="1634" w:type="dxa"/>
            <w:shd w:val="clear" w:color="auto" w:fill="FFFFFF"/>
            <w:vAlign w:val="top"/>
          </w:tcPr>
          <w:p>
            <w:pPr>
              <w:pStyle w:val="105"/>
              <w:jc w:val="center"/>
            </w:pPr>
            <w:r>
              <w:t>200 – 1000 km</w:t>
            </w:r>
          </w:p>
        </w:tc>
        <w:tc>
          <w:tcPr>
            <w:tcW w:w="1633" w:type="dxa"/>
            <w:shd w:val="clear" w:color="auto" w:fill="FFFFFF"/>
            <w:vAlign w:val="top"/>
          </w:tcPr>
          <w:p>
            <w:pPr>
              <w:pStyle w:val="105"/>
              <w:jc w:val="center"/>
            </w:pPr>
            <w:r>
              <w:t>100 – 500 km</w:t>
            </w:r>
          </w:p>
        </w:tc>
        <w:tc>
          <w:tcPr>
            <w:tcW w:w="1626" w:type="dxa"/>
            <w:shd w:val="clear" w:color="auto" w:fill="FFFFFF"/>
            <w:vAlign w:val="top"/>
          </w:tcPr>
          <w:p>
            <w:pPr>
              <w:pStyle w:val="105"/>
              <w:jc w:val="center"/>
            </w:pPr>
            <w:r>
              <w:t>5 - 200 km</w:t>
            </w:r>
          </w:p>
        </w:tc>
      </w:tr>
    </w:tbl>
    <w:p>
      <w:pPr>
        <w:rPr>
          <w:rFonts w:hint="eastAsia" w:eastAsia="宋体"/>
          <w:lang w:val="en-US" w:eastAsia="zh-CN"/>
        </w:rPr>
      </w:pPr>
    </w:p>
    <w:p>
      <w:pPr>
        <w:rPr>
          <w:rFonts w:hint="eastAsia" w:eastAsia="宋体"/>
          <w:lang w:val="en-US" w:eastAsia="zh-CN"/>
        </w:rPr>
      </w:pPr>
      <w:r>
        <w:rPr>
          <w:rFonts w:hint="eastAsia" w:eastAsia="宋体"/>
          <w:lang w:val="en-US" w:eastAsia="zh-CN"/>
        </w:rPr>
        <w:t>--------------------------------------------------- From 38.811 End -----------------------------------------------------</w:t>
      </w:r>
    </w:p>
    <w:p>
      <w:pPr>
        <w:rPr>
          <w:rFonts w:hint="eastAsia" w:eastAsia="宋体"/>
          <w:lang w:val="en-US" w:eastAsia="zh-CN"/>
        </w:rPr>
      </w:pPr>
      <w:r>
        <w:rPr>
          <w:rFonts w:hint="eastAsia" w:eastAsia="宋体"/>
          <w:lang w:val="en-US" w:eastAsia="zh-CN"/>
        </w:rPr>
        <w:t>Based on the quoted text above, it is observed that the coverage of one satellite beam is much larger than the typical coverage of one NR terrestrial cell. Though the cell definition in NTN scenarios is still in discussion, it is expected that the cell size is similar to the beam foot print size.</w:t>
      </w:r>
    </w:p>
    <w:p>
      <w:pPr>
        <w:rPr>
          <w:rFonts w:hint="eastAsia" w:eastAsia="宋体"/>
          <w:b/>
          <w:bCs/>
          <w:lang w:val="en-US" w:eastAsia="zh-CN"/>
        </w:rPr>
      </w:pPr>
      <w:r>
        <w:rPr>
          <w:rFonts w:hint="eastAsia" w:eastAsia="宋体"/>
          <w:b/>
          <w:bCs/>
          <w:lang w:val="en-US" w:eastAsia="zh-CN"/>
        </w:rPr>
        <w:t>Observation 1: The typical beam foot print size is 200-1000km (i.e. a beam coverage is about 31416km</w:t>
      </w:r>
      <w:r>
        <w:rPr>
          <w:rFonts w:hint="eastAsia" w:eastAsia="宋体"/>
          <w:b/>
          <w:bCs/>
          <w:vertAlign w:val="superscript"/>
          <w:lang w:val="en-US" w:eastAsia="zh-CN"/>
        </w:rPr>
        <w:t>2</w:t>
      </w:r>
      <w:r>
        <w:rPr>
          <w:rFonts w:hint="eastAsia" w:eastAsia="宋体"/>
          <w:b/>
          <w:bCs/>
          <w:lang w:val="en-US" w:eastAsia="zh-CN"/>
        </w:rPr>
        <w:t xml:space="preserve"> - 785398km</w:t>
      </w:r>
      <w:r>
        <w:rPr>
          <w:rFonts w:hint="eastAsia" w:eastAsia="宋体"/>
          <w:b/>
          <w:bCs/>
          <w:vertAlign w:val="superscript"/>
          <w:lang w:val="en-US" w:eastAsia="zh-CN"/>
        </w:rPr>
        <w:t>2</w:t>
      </w:r>
      <w:r>
        <w:rPr>
          <w:rFonts w:hint="eastAsia" w:eastAsia="宋体"/>
          <w:b/>
          <w:bCs/>
          <w:lang w:val="en-US" w:eastAsia="zh-CN"/>
        </w:rPr>
        <w:t>) for GEO and 100-500km (i.e. a beam coverage is about 7854km</w:t>
      </w:r>
      <w:r>
        <w:rPr>
          <w:rFonts w:hint="eastAsia" w:eastAsia="宋体"/>
          <w:b/>
          <w:bCs/>
          <w:vertAlign w:val="superscript"/>
          <w:lang w:val="en-US" w:eastAsia="zh-CN"/>
        </w:rPr>
        <w:t>2</w:t>
      </w:r>
      <w:r>
        <w:rPr>
          <w:rFonts w:hint="eastAsia" w:eastAsia="宋体"/>
          <w:b/>
          <w:bCs/>
          <w:lang w:val="en-US" w:eastAsia="zh-CN"/>
        </w:rPr>
        <w:t xml:space="preserve"> - 196350km</w:t>
      </w:r>
      <w:r>
        <w:rPr>
          <w:rFonts w:hint="eastAsia" w:eastAsia="宋体"/>
          <w:b/>
          <w:bCs/>
          <w:vertAlign w:val="superscript"/>
          <w:lang w:val="en-US" w:eastAsia="zh-CN"/>
        </w:rPr>
        <w:t>2</w:t>
      </w:r>
      <w:r>
        <w:rPr>
          <w:rFonts w:hint="eastAsia" w:eastAsia="宋体"/>
          <w:b/>
          <w:bCs/>
          <w:lang w:val="en-US" w:eastAsia="zh-CN"/>
        </w:rPr>
        <w:t>) for Non-GEO.</w:t>
      </w: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Use case to be supported in NTN</w:t>
      </w:r>
    </w:p>
    <w:p>
      <w:pPr>
        <w:rPr>
          <w:rFonts w:hint="eastAsia" w:eastAsia="宋体"/>
          <w:lang w:val="en-US" w:eastAsia="zh-CN"/>
        </w:rPr>
      </w:pPr>
      <w:r>
        <w:rPr>
          <w:rFonts w:hint="eastAsia" w:eastAsia="宋体"/>
          <w:lang w:val="en-US" w:eastAsia="zh-CN"/>
        </w:rPr>
        <w:t xml:space="preserve">It is identified in TR 38.811 that both eMBB and mMTC shall be supported in NTN. As shown in the table below, wide area IoT service is to be supported in NTN, including the </w:t>
      </w:r>
      <w:r>
        <w:rPr>
          <w:rFonts w:hint="default" w:eastAsia="宋体"/>
          <w:lang w:val="en-US" w:eastAsia="zh-CN"/>
        </w:rPr>
        <w:t>“</w:t>
      </w:r>
      <w:r>
        <w:rPr>
          <w:rFonts w:hint="eastAsia" w:eastAsia="宋体"/>
          <w:lang w:val="en-US" w:eastAsia="zh-CN"/>
        </w:rPr>
        <w:t>connectivity between IoT devices (battery activated sensors/actuators or not) and spaceborne platform</w:t>
      </w:r>
      <w:r>
        <w:rPr>
          <w:rFonts w:hint="default" w:eastAsia="宋体"/>
          <w:lang w:val="en-US" w:eastAsia="zh-CN"/>
        </w:rPr>
        <w:t>”</w:t>
      </w:r>
      <w:r>
        <w:rPr>
          <w:rFonts w:hint="eastAsia" w:eastAsia="宋体"/>
          <w:lang w:val="en-US" w:eastAsia="zh-CN"/>
        </w:rPr>
        <w:t xml:space="preserve">. </w:t>
      </w:r>
    </w:p>
    <w:p>
      <w:pPr>
        <w:rPr>
          <w:rFonts w:hint="eastAsia" w:eastAsiaTheme="minorEastAsia"/>
          <w:lang w:val="en-US" w:eastAsia="zh-CN"/>
        </w:rPr>
      </w:pPr>
      <w:r>
        <w:rPr>
          <w:rFonts w:hint="eastAsia"/>
          <w:lang w:val="en-US" w:eastAsia="zh-CN"/>
        </w:rPr>
        <w:t>------------------------------------------------- From 38.811 Start -----------------------------------------------------------</w:t>
      </w:r>
    </w:p>
    <w:tbl>
      <w:tblPr>
        <w:tblStyle w:val="6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374"/>
        <w:gridCol w:w="3898"/>
        <w:gridCol w:w="233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3" w:hRule="atLeast"/>
        </w:trPr>
        <w:tc>
          <w:tcPr>
            <w:tcW w:w="857"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b/>
                <w:sz w:val="18"/>
                <w:szCs w:val="18"/>
              </w:rPr>
            </w:pPr>
            <w:r>
              <w:rPr>
                <w:rFonts w:ascii="Arial" w:hAnsi="Arial" w:cs="Arial"/>
                <w:b/>
                <w:sz w:val="18"/>
                <w:szCs w:val="18"/>
              </w:rPr>
              <w:t>mMTC</w:t>
            </w:r>
          </w:p>
        </w:tc>
        <w:tc>
          <w:tcPr>
            <w:tcW w:w="1374"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b/>
                <w:sz w:val="18"/>
                <w:szCs w:val="18"/>
              </w:rPr>
            </w:pPr>
            <w:r>
              <w:rPr>
                <w:rFonts w:ascii="Arial" w:hAnsi="Arial" w:cs="Arial"/>
                <w:b/>
                <w:sz w:val="18"/>
                <w:szCs w:val="18"/>
              </w:rPr>
              <w:t>Wide area IoT service</w:t>
            </w:r>
          </w:p>
        </w:tc>
        <w:tc>
          <w:tcPr>
            <w:tcW w:w="3898"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sz w:val="18"/>
                <w:szCs w:val="18"/>
              </w:rPr>
            </w:pPr>
            <w:r>
              <w:rPr>
                <w:rFonts w:ascii="Arial" w:hAnsi="Arial" w:cs="Arial"/>
                <w:sz w:val="18"/>
                <w:szCs w:val="18"/>
              </w:rPr>
              <w:t>Global continuity of service for telematic applications based on a group of sensors/actuators (IoT devices, battery activated or not) scattered over or moving around a wide area and reporting information to or controlled by a central server.</w:t>
            </w:r>
          </w:p>
          <w:p>
            <w:pPr>
              <w:rPr>
                <w:rFonts w:ascii="Arial" w:hAnsi="Arial" w:cs="Arial"/>
                <w:sz w:val="18"/>
                <w:szCs w:val="18"/>
              </w:rPr>
            </w:pPr>
            <w:r>
              <w:rPr>
                <w:rFonts w:ascii="Arial" w:hAnsi="Arial" w:cs="Arial"/>
                <w:sz w:val="18"/>
                <w:szCs w:val="18"/>
              </w:rPr>
              <w:t>These sensors and/or actuators may be used for example the following telematics applications:</w:t>
            </w:r>
          </w:p>
          <w:p>
            <w:pPr>
              <w:pStyle w:val="68"/>
              <w:numPr>
                <w:ilvl w:val="0"/>
                <w:numId w:val="4"/>
              </w:numPr>
              <w:spacing w:after="0" w:line="240" w:lineRule="auto"/>
              <w:rPr>
                <w:rFonts w:ascii="Arial" w:hAnsi="Arial" w:cs="Arial"/>
                <w:sz w:val="18"/>
                <w:szCs w:val="18"/>
              </w:rPr>
            </w:pPr>
            <w:r>
              <w:rPr>
                <w:rFonts w:ascii="Arial" w:hAnsi="Arial" w:cs="Arial"/>
                <w:sz w:val="18"/>
                <w:szCs w:val="18"/>
              </w:rPr>
              <w:t>Automotive and road transport: high density platooning, HD map updates, Traffic flow optimisation, Vehicle software updates, automotive diagnostic reporting, user base insurance information (e.g. speed limit, driving behaviour), safety status reporting (e.g. air-bag deployment reporting), advertising based revenue, Context awareness information (e.g. neighbouring bargain opportunities based on revenue), remote access functions (e.g. remote door unlocking).</w:t>
            </w:r>
          </w:p>
          <w:p>
            <w:pPr>
              <w:pStyle w:val="68"/>
              <w:numPr>
                <w:ilvl w:val="0"/>
                <w:numId w:val="4"/>
              </w:numPr>
              <w:spacing w:after="0" w:line="240" w:lineRule="auto"/>
              <w:rPr>
                <w:rFonts w:ascii="Arial" w:hAnsi="Arial" w:cs="Arial"/>
                <w:sz w:val="18"/>
                <w:szCs w:val="18"/>
              </w:rPr>
            </w:pPr>
            <w:r>
              <w:rPr>
                <w:rFonts w:ascii="Arial" w:hAnsi="Arial" w:cs="Arial"/>
                <w:sz w:val="18"/>
                <w:szCs w:val="18"/>
              </w:rPr>
              <w:t xml:space="preserve">Energy: Critical surveillance of oil/gas infrastructures (e.g. pipeline status) </w:t>
            </w:r>
          </w:p>
          <w:p>
            <w:pPr>
              <w:pStyle w:val="68"/>
              <w:numPr>
                <w:ilvl w:val="0"/>
                <w:numId w:val="4"/>
              </w:numPr>
              <w:spacing w:after="0" w:line="240" w:lineRule="auto"/>
              <w:rPr>
                <w:rFonts w:ascii="Arial" w:hAnsi="Arial" w:cs="Arial"/>
                <w:sz w:val="18"/>
                <w:szCs w:val="18"/>
              </w:rPr>
            </w:pPr>
            <w:r>
              <w:rPr>
                <w:rFonts w:ascii="Arial" w:hAnsi="Arial" w:cs="Arial"/>
                <w:sz w:val="18"/>
                <w:szCs w:val="18"/>
              </w:rPr>
              <w:t>Transport: Fleet management, asset tracking, digital signage, remote road alerts</w:t>
            </w:r>
          </w:p>
          <w:p>
            <w:pPr>
              <w:pStyle w:val="68"/>
              <w:numPr>
                <w:ilvl w:val="0"/>
                <w:numId w:val="4"/>
              </w:numPr>
              <w:spacing w:after="0" w:line="240" w:lineRule="auto"/>
              <w:rPr>
                <w:rFonts w:ascii="Arial" w:hAnsi="Arial" w:cs="Arial"/>
                <w:sz w:val="18"/>
                <w:szCs w:val="18"/>
              </w:rPr>
            </w:pPr>
            <w:r>
              <w:rPr>
                <w:rFonts w:ascii="Arial" w:hAnsi="Arial" w:cs="Arial"/>
                <w:sz w:val="18"/>
                <w:szCs w:val="18"/>
              </w:rPr>
              <w:t xml:space="preserve">Agriculture: Livestock management, farming </w:t>
            </w:r>
          </w:p>
          <w:p>
            <w:pPr>
              <w:rPr>
                <w:rFonts w:ascii="Arial" w:hAnsi="Arial" w:cs="Arial"/>
                <w:sz w:val="18"/>
                <w:szCs w:val="18"/>
              </w:rPr>
            </w:pPr>
          </w:p>
        </w:tc>
        <w:tc>
          <w:tcPr>
            <w:tcW w:w="2335" w:type="dxa"/>
            <w:tcBorders>
              <w:top w:val="single" w:color="auto" w:sz="4" w:space="0"/>
              <w:left w:val="single" w:color="auto" w:sz="4" w:space="0"/>
              <w:bottom w:val="single" w:color="auto" w:sz="4" w:space="0"/>
              <w:right w:val="single" w:color="auto" w:sz="4" w:space="0"/>
            </w:tcBorders>
            <w:shd w:val="clear" w:color="auto" w:fill="auto"/>
            <w:vAlign w:val="top"/>
          </w:tcPr>
          <w:p>
            <w:pPr>
              <w:rPr>
                <w:rFonts w:ascii="Arial" w:hAnsi="Arial" w:cs="Arial"/>
                <w:sz w:val="18"/>
                <w:szCs w:val="18"/>
                <w:highlight w:val="yellow"/>
              </w:rPr>
            </w:pPr>
            <w:r>
              <w:rPr>
                <w:rFonts w:ascii="Arial" w:hAnsi="Arial" w:cs="Arial"/>
                <w:iCs/>
                <w:sz w:val="18"/>
                <w:szCs w:val="18"/>
              </w:rPr>
              <w:t xml:space="preserve">Connectivity between IoT devices (battery activated sensors/actuators or not) and </w:t>
            </w:r>
            <w:r>
              <w:rPr>
                <w:rFonts w:ascii="Arial" w:hAnsi="Arial" w:cs="Arial"/>
                <w:sz w:val="18"/>
                <w:szCs w:val="18"/>
              </w:rPr>
              <w:t>spaceborne platform. Continuity of service across spaceborne platforms and terrestrial base stations is needed.</w:t>
            </w:r>
          </w:p>
        </w:tc>
        <w:tc>
          <w:tcPr>
            <w:tcW w:w="1393" w:type="dxa"/>
            <w:tcBorders>
              <w:left w:val="single" w:color="auto" w:sz="4" w:space="0"/>
            </w:tcBorders>
            <w:shd w:val="clear" w:color="auto" w:fill="auto"/>
            <w:vAlign w:val="top"/>
          </w:tcPr>
          <w:p>
            <w:pPr>
              <w:rPr>
                <w:iCs/>
              </w:rPr>
            </w:pPr>
            <w:r>
              <w:rPr>
                <w:iCs/>
              </w:rPr>
              <w:t>TR 22.861, §5.2: connectivity aspects</w:t>
            </w:r>
          </w:p>
          <w:p>
            <w:pPr>
              <w:rPr>
                <w:iCs/>
              </w:rPr>
            </w:pPr>
            <w:r>
              <w:rPr>
                <w:iCs/>
              </w:rPr>
              <w:t>TR 22.864, §5.6: Access</w:t>
            </w:r>
          </w:p>
          <w:p>
            <w:pPr>
              <w:rPr>
                <w:iCs/>
              </w:rPr>
            </w:pPr>
            <w:r>
              <w:rPr>
                <w:iCs/>
              </w:rPr>
              <w:t>TR 22.862, §5.1: Higher reliability and lower latency</w:t>
            </w:r>
          </w:p>
          <w:p>
            <w:pPr>
              <w:rPr>
                <w:iCs/>
              </w:rPr>
            </w:pPr>
            <w:r>
              <w:rPr>
                <w:iCs/>
              </w:rPr>
              <w:t>TS 22.261 (related to §6.2.3 Service continuity acriss different access technologies)</w:t>
            </w:r>
          </w:p>
        </w:tc>
      </w:tr>
    </w:tbl>
    <w:p/>
    <w:p>
      <w:pPr>
        <w:rPr>
          <w:rFonts w:hint="eastAsia" w:eastAsiaTheme="minorEastAsia"/>
          <w:lang w:val="en-US" w:eastAsia="zh-CN"/>
        </w:rPr>
      </w:pPr>
      <w:r>
        <w:rPr>
          <w:rFonts w:hint="eastAsia"/>
          <w:lang w:val="en-US" w:eastAsia="zh-CN"/>
        </w:rPr>
        <w:t>------------------------------------------------- From 38.811 End -----------------------------------------------------------</w:t>
      </w:r>
    </w:p>
    <w:p>
      <w:pPr>
        <w:rPr>
          <w:rFonts w:hint="eastAsia"/>
          <w:color w:val="000000"/>
          <w:lang w:val="en-US" w:eastAsia="zh-CN"/>
        </w:rPr>
      </w:pPr>
      <w:r>
        <w:rPr>
          <w:rFonts w:hint="eastAsia" w:eastAsia="宋体"/>
          <w:lang w:val="en-US" w:eastAsia="zh-CN"/>
        </w:rPr>
        <w:t>To support wide area IoT service, 10</w:t>
      </w:r>
      <w:r>
        <w:rPr>
          <w:rFonts w:hint="eastAsia" w:eastAsia="宋体"/>
          <w:vertAlign w:val="superscript"/>
          <w:lang w:val="en-US" w:eastAsia="zh-CN"/>
        </w:rPr>
        <w:t xml:space="preserve">6 </w:t>
      </w:r>
      <w:r>
        <w:rPr>
          <w:rFonts w:hint="eastAsia" w:eastAsia="宋体"/>
          <w:lang w:val="en-US" w:eastAsia="zh-CN"/>
        </w:rPr>
        <w:t>connections/km</w:t>
      </w:r>
      <w:r>
        <w:rPr>
          <w:rFonts w:hint="eastAsia" w:eastAsia="宋体"/>
          <w:vertAlign w:val="superscript"/>
          <w:lang w:val="en-US" w:eastAsia="zh-CN"/>
        </w:rPr>
        <w:t>2</w:t>
      </w:r>
      <w:r>
        <w:rPr>
          <w:rFonts w:hint="eastAsia" w:eastAsia="宋体"/>
          <w:lang w:val="en-US" w:eastAsia="zh-CN"/>
        </w:rPr>
        <w:t xml:space="preserve"> is targeted in 5G NR envision. Considering the huge cell size in NTN scenario, the UE density that can be supported should be investigated.</w:t>
      </w:r>
    </w:p>
    <w:p>
      <w:pPr>
        <w:rPr>
          <w:rFonts w:hint="eastAsia"/>
          <w:b/>
          <w:bCs/>
          <w:color w:val="000000"/>
          <w:lang w:val="en-US" w:eastAsia="zh-CN"/>
        </w:rPr>
      </w:pPr>
      <w:r>
        <w:rPr>
          <w:rFonts w:hint="eastAsia"/>
          <w:b/>
          <w:bCs/>
          <w:color w:val="000000"/>
          <w:lang w:val="en-US" w:eastAsia="zh-CN"/>
        </w:rPr>
        <w:t xml:space="preserve">Observation 2: </w:t>
      </w:r>
      <w:r>
        <w:rPr>
          <w:rFonts w:hint="eastAsia" w:eastAsia="宋体"/>
          <w:b/>
          <w:bCs/>
          <w:lang w:val="en-US" w:eastAsia="zh-CN"/>
        </w:rPr>
        <w:t>To support wide area IoT service, the UE density that can be supported should be investigated in NTN scenario.</w:t>
      </w: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RACH capacity in current NR specifications</w:t>
      </w:r>
    </w:p>
    <w:p>
      <w:pPr>
        <w:rPr>
          <w:rFonts w:hint="eastAsia" w:eastAsia="宋体"/>
          <w:lang w:val="en-US" w:eastAsia="zh-CN"/>
        </w:rPr>
      </w:pPr>
      <w:r>
        <w:rPr>
          <w:rFonts w:hint="eastAsia" w:eastAsia="宋体"/>
          <w:lang w:val="en-US" w:eastAsia="zh-CN"/>
        </w:rPr>
        <w:t xml:space="preserve">The capacity of RACH is determined by time and frequency resources configured by </w:t>
      </w:r>
      <w:r>
        <w:t>higher-layer parameter</w:t>
      </w:r>
      <w:r>
        <w:rPr>
          <w:rFonts w:hint="eastAsia"/>
          <w:lang w:val="en-US" w:eastAsia="zh-CN"/>
        </w:rPr>
        <w:t>s</w:t>
      </w:r>
      <w:r>
        <w:t xml:space="preserve"> </w:t>
      </w:r>
      <w:r>
        <w:rPr>
          <w:i/>
        </w:rPr>
        <w:t>prach-ConfigurationIndex</w:t>
      </w:r>
      <w:r>
        <w:t xml:space="preserve"> </w:t>
      </w:r>
      <w:r>
        <w:rPr>
          <w:rFonts w:hint="eastAsia"/>
          <w:lang w:val="en-US" w:eastAsia="zh-CN"/>
        </w:rPr>
        <w:t xml:space="preserve">and </w:t>
      </w:r>
      <w:r>
        <w:rPr>
          <w:i/>
        </w:rPr>
        <w:t>msg1-FDM</w:t>
      </w:r>
      <w:r>
        <w:rPr>
          <w:rFonts w:hint="eastAsia"/>
          <w:i/>
          <w:lang w:val="en-US" w:eastAsia="zh-CN"/>
        </w:rPr>
        <w:t xml:space="preserve"> </w:t>
      </w:r>
      <w:r>
        <w:rPr>
          <w:rFonts w:hint="eastAsia" w:eastAsia="宋体"/>
          <w:lang w:val="en-US" w:eastAsia="zh-CN"/>
        </w:rPr>
        <w:t xml:space="preserve">defined in TS 38.331. The </w:t>
      </w:r>
      <w:r>
        <w:rPr>
          <w:i/>
        </w:rPr>
        <w:t>prach-ConfigurationIndex</w:t>
      </w:r>
      <w:r>
        <w:rPr>
          <w:rFonts w:hint="eastAsia"/>
          <w:i/>
          <w:lang w:val="en-US" w:eastAsia="zh-CN"/>
        </w:rPr>
        <w:t xml:space="preserve"> </w:t>
      </w:r>
      <w:r>
        <w:rPr>
          <w:rFonts w:hint="eastAsia" w:eastAsia="宋体"/>
          <w:lang w:val="en-US" w:eastAsia="zh-CN"/>
        </w:rPr>
        <w:t xml:space="preserve">determines the density of RACH opportunities in the time domain, and the </w:t>
      </w:r>
      <w:r>
        <w:rPr>
          <w:i/>
        </w:rPr>
        <w:t>msg1-FDM</w:t>
      </w:r>
      <w:r>
        <w:rPr>
          <w:rFonts w:hint="eastAsia"/>
          <w:i/>
          <w:lang w:val="en-US" w:eastAsia="zh-CN"/>
        </w:rPr>
        <w:t xml:space="preserve"> </w:t>
      </w:r>
      <w:r>
        <w:rPr>
          <w:rFonts w:hint="eastAsia" w:eastAsia="宋体"/>
          <w:lang w:val="en-US" w:eastAsia="zh-CN"/>
        </w:rPr>
        <w:t xml:space="preserve">determines the available RACH resource multiplexed in frequency domain simultaneously.  </w:t>
      </w:r>
    </w:p>
    <w:p>
      <w:pPr>
        <w:rPr>
          <w:rFonts w:hint="eastAsia" w:eastAsiaTheme="minorEastAsia"/>
          <w:lang w:val="en-US" w:eastAsia="zh-CN"/>
        </w:rPr>
      </w:pPr>
      <w:r>
        <w:rPr>
          <w:rFonts w:hint="eastAsia"/>
          <w:lang w:val="en-US" w:eastAsia="zh-CN"/>
        </w:rPr>
        <w:t>------------------------------------------------- From 38.331 Start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RACH-ConfigGeneric ::=              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prach-ConfigurationIndex            INTEGER (0..255),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msg1-FDM                            ENUMERATED {one, two, four, eight},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msg1-FrequencyStart                 INTEGER (0..maxNrofPhysicalResourceBlocks-1),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zeroCorrelationZoneConfig           INTEGER(0..15),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preambleReceivedTargetPower         INTEGER (-202..-60),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preambleTransMax                    ENUMERATED {n3, n4, n5, n6, n7, n8, n10, n20, n50, n100, n200},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powerRampingStep                    ENUMERATED {dB0, dB2, dB4, dB6},</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宋体" w:cs="Times New Roman"/>
          <w:szCs w:val="22"/>
          <w:lang w:val="en-GB" w:eastAsia="sv-SE"/>
        </w:rPr>
      </w:pPr>
      <w:r>
        <w:rPr>
          <w:rFonts w:eastAsia="宋体" w:cs="Times New Roman"/>
          <w:szCs w:val="22"/>
          <w:lang w:val="en-GB" w:eastAsia="sv-SE"/>
        </w:rPr>
        <w:t xml:space="preserve">    ra-ResponseWindow                   ENUMERATED {sl1, sl2, sl4, sl8, sl10, sl20, sl40, sl80},</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cs="Times New Roman"/>
          <w:szCs w:val="22"/>
          <w:lang w:val="en-GB" w:eastAsia="sv-SE"/>
        </w:rPr>
      </w:pPr>
      <w:r>
        <w:rPr>
          <w:rFonts w:eastAsia="Batang" w:cs="Times New Roman"/>
          <w:szCs w:val="22"/>
          <w:lang w:val="en-GB" w:eastAsia="sv-SE"/>
        </w:rP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cs="Times New Roman"/>
          <w:szCs w:val="22"/>
          <w:lang w:val="en-GB" w:eastAsia="sv-SE"/>
        </w:rPr>
      </w:pPr>
      <w:r>
        <w:rPr>
          <w:rFonts w:eastAsia="Batang" w:cs="Times New Roman"/>
          <w:szCs w:val="22"/>
          <w:lang w:val="en-GB" w:eastAsia="sv-SE"/>
        </w:rPr>
        <w:t>}</w:t>
      </w:r>
    </w:p>
    <w:p>
      <w:pPr>
        <w:rPr>
          <w:rFonts w:hint="eastAsia" w:eastAsiaTheme="minorEastAsia"/>
          <w:lang w:val="en-US" w:eastAsia="zh-CN"/>
        </w:rPr>
      </w:pPr>
      <w:r>
        <w:rPr>
          <w:rFonts w:hint="eastAsia"/>
          <w:lang w:val="en-US" w:eastAsia="zh-CN"/>
        </w:rPr>
        <w:t>------------------------------------------------- From 38.331 End -----------------------------------------------------------</w:t>
      </w:r>
    </w:p>
    <w:p>
      <w:pPr>
        <w:rPr>
          <w:rFonts w:hint="eastAsia" w:eastAsia="宋体"/>
          <w:lang w:val="en-US" w:eastAsia="zh-CN"/>
        </w:rPr>
      </w:pPr>
      <w:r>
        <w:rPr>
          <w:rFonts w:hint="eastAsia" w:eastAsia="宋体"/>
          <w:lang w:val="en-US" w:eastAsia="zh-CN"/>
        </w:rPr>
        <w:t xml:space="preserve">As quoted above, the maximum value of </w:t>
      </w:r>
      <w:r>
        <w:rPr>
          <w:i/>
        </w:rPr>
        <w:t>msg1-FDM</w:t>
      </w:r>
      <w:r>
        <w:rPr>
          <w:rFonts w:hint="eastAsia" w:eastAsia="宋体"/>
          <w:lang w:val="en-US" w:eastAsia="zh-CN"/>
        </w:rPr>
        <w:t xml:space="preserve"> is 8. </w:t>
      </w:r>
    </w:p>
    <w:p>
      <w:pPr>
        <w:rPr>
          <w:rFonts w:hint="eastAsia" w:eastAsia="宋体"/>
          <w:lang w:val="en-US" w:eastAsia="zh-CN"/>
        </w:rPr>
      </w:pPr>
      <w:r>
        <w:rPr>
          <w:rFonts w:hint="eastAsia" w:eastAsia="宋体"/>
          <w:lang w:val="en-US" w:eastAsia="zh-CN"/>
        </w:rPr>
        <w:t xml:space="preserve">The time domain density of RACH is calculated using Table 6.3.3.2-2 to 6.3.3.2-4 in TS 38.211, which also </w:t>
      </w:r>
      <w:r>
        <w:t>depends on FR1 or FR2 and the spectrum type as defined in TS38.104</w:t>
      </w:r>
      <w:r>
        <w:rPr>
          <w:rFonts w:hint="eastAsia" w:eastAsia="宋体"/>
          <w:lang w:val="en-US" w:eastAsia="zh-CN"/>
        </w:rPr>
        <w:t xml:space="preserve">.  </w:t>
      </w:r>
    </w:p>
    <w:p>
      <w:pPr>
        <w:numPr>
          <w:ilvl w:val="0"/>
          <w:numId w:val="5"/>
        </w:numPr>
        <w:ind w:left="420" w:leftChars="0" w:hanging="420" w:firstLineChars="0"/>
        <w:rPr>
          <w:rFonts w:hint="eastAsia" w:eastAsiaTheme="minorEastAsia"/>
          <w:lang w:val="en-US" w:eastAsia="zh-CN"/>
        </w:rPr>
      </w:pPr>
      <w:r>
        <w:rPr>
          <w:rFonts w:hint="eastAsia"/>
          <w:lang w:val="en-US" w:eastAsia="zh-CN"/>
        </w:rPr>
        <w:t>F</w:t>
      </w:r>
      <w:r>
        <w:t>or FR1 and paired spectrum/supplementary uplink</w:t>
      </w:r>
      <w:r>
        <w:rPr>
          <w:rFonts w:hint="eastAsia"/>
          <w:lang w:val="en-US" w:eastAsia="zh-CN"/>
        </w:rPr>
        <w:t xml:space="preserve">, the maximum time domain density of RACH is given in Table 1.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1. </w:t>
      </w:r>
      <w:r>
        <w:rPr>
          <w:rFonts w:hint="eastAsia"/>
          <w:b/>
          <w:bCs/>
          <w:vertAlign w:val="baseline"/>
          <w:lang w:val="en-US" w:eastAsia="zh-CN"/>
        </w:rPr>
        <w:t xml:space="preserve">Max PRACH density in time domain, for </w:t>
      </w:r>
      <w:r>
        <w:rPr>
          <w:b/>
          <w:bCs/>
        </w:rPr>
        <w:t>FR1 and paired spectrum/supplementary uplink</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106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135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196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176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217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234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254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bl>
    <w:p>
      <w:pPr>
        <w:numPr>
          <w:ilvl w:val="0"/>
          <w:numId w:val="0"/>
        </w:numPr>
        <w:ind w:leftChars="0"/>
        <w:rPr>
          <w:rFonts w:hint="eastAsia" w:eastAsiaTheme="minorEastAsia"/>
          <w:lang w:val="en-US" w:eastAsia="zh-CN"/>
        </w:rPr>
      </w:pPr>
    </w:p>
    <w:p>
      <w:pPr>
        <w:numPr>
          <w:ilvl w:val="0"/>
          <w:numId w:val="5"/>
        </w:numPr>
        <w:ind w:left="420" w:leftChars="0" w:hanging="420" w:firstLineChars="0"/>
        <w:rPr>
          <w:rFonts w:hint="eastAsia" w:eastAsiaTheme="minorEastAsia"/>
          <w:lang w:val="en-US" w:eastAsia="zh-CN"/>
        </w:rPr>
      </w:pPr>
      <w:r>
        <w:rPr>
          <w:rFonts w:hint="eastAsia"/>
          <w:lang w:val="en-US" w:eastAsia="zh-CN"/>
        </w:rPr>
        <w:t xml:space="preserve">For </w:t>
      </w:r>
      <w:r>
        <w:t>FR1 and unpaired spectrum</w:t>
      </w:r>
      <w:r>
        <w:rPr>
          <w:rFonts w:hint="eastAsia"/>
          <w:lang w:val="en-US" w:eastAsia="zh-CN"/>
        </w:rPr>
        <w:t xml:space="preserve">, the maximum time domain density of RACH is given in Table 2.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b/>
          <w:bCs/>
          <w:lang w:val="en-US" w:eastAsia="zh-CN"/>
        </w:rPr>
      </w:pPr>
      <w:r>
        <w:rPr>
          <w:rFonts w:hint="eastAsia"/>
          <w:b/>
          <w:bCs/>
          <w:lang w:val="en-US" w:eastAsia="zh-CN"/>
        </w:rPr>
        <w:t xml:space="preserve">Table 2. </w:t>
      </w:r>
      <w:r>
        <w:rPr>
          <w:rFonts w:hint="eastAsia"/>
          <w:b/>
          <w:bCs/>
          <w:vertAlign w:val="baseline"/>
          <w:lang w:val="en-US" w:eastAsia="zh-CN"/>
        </w:rPr>
        <w:t xml:space="preserve">Max PRACH density in time domain, for </w:t>
      </w:r>
      <w:r>
        <w:rPr>
          <w:b/>
          <w:bCs/>
        </w:rPr>
        <w:t>FR1 and unpaired spectrum</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33</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39</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66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84</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107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223</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238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186</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208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1.6</w:t>
            </w:r>
          </w:p>
        </w:tc>
      </w:tr>
    </w:tbl>
    <w:p>
      <w:pPr>
        <w:numPr>
          <w:ilvl w:val="0"/>
          <w:numId w:val="0"/>
        </w:numPr>
        <w:ind w:leftChars="0"/>
        <w:rPr>
          <w:rFonts w:hint="eastAsia" w:eastAsiaTheme="minorEastAsia"/>
          <w:lang w:val="en-US" w:eastAsia="zh-CN"/>
        </w:rPr>
      </w:pPr>
    </w:p>
    <w:p>
      <w:pPr>
        <w:numPr>
          <w:ilvl w:val="0"/>
          <w:numId w:val="5"/>
        </w:numPr>
        <w:ind w:left="420" w:leftChars="0" w:hanging="420" w:firstLineChars="0"/>
        <w:rPr>
          <w:rFonts w:hint="eastAsia" w:eastAsiaTheme="minorEastAsia"/>
          <w:lang w:val="en-US" w:eastAsia="zh-CN"/>
        </w:rPr>
      </w:pPr>
      <w:r>
        <w:rPr>
          <w:rFonts w:hint="eastAsia"/>
          <w:lang w:val="en-US" w:eastAsia="zh-CN"/>
        </w:rPr>
        <w:t>F</w:t>
      </w:r>
      <w:r>
        <w:t>or FR2 and unpaired spectrum</w:t>
      </w:r>
      <w:r>
        <w:rPr>
          <w:rFonts w:hint="eastAsia"/>
          <w:lang w:val="en-US" w:eastAsia="zh-CN"/>
        </w:rPr>
        <w:t xml:space="preserve">, the maximum time domain density of RACH is given in Table 3. Please note that the given </w:t>
      </w:r>
      <w:r>
        <w:rPr>
          <w:i/>
        </w:rPr>
        <w:t>prach-ConfigurationIndex</w:t>
      </w:r>
      <w:r>
        <w:rPr>
          <w:rFonts w:hint="eastAsia"/>
          <w:i/>
          <w:lang w:val="en-US" w:eastAsia="zh-CN"/>
        </w:rPr>
        <w:t xml:space="preserve"> </w:t>
      </w:r>
      <w:r>
        <w:rPr>
          <w:rFonts w:hint="eastAsia"/>
          <w:lang w:val="en-US" w:eastAsia="zh-CN"/>
        </w:rPr>
        <w:t xml:space="preserve">is only an example which yields the maximum time domain density. There could be several </w:t>
      </w:r>
      <w:r>
        <w:rPr>
          <w:i/>
        </w:rPr>
        <w:t>prach-ConfigurationIndex</w:t>
      </w:r>
      <w:r>
        <w:rPr>
          <w:rFonts w:hint="eastAsia"/>
          <w:lang w:val="en-US" w:eastAsia="zh-CN"/>
        </w:rPr>
        <w:t xml:space="preserve"> values to fulfill this requirement.</w:t>
      </w:r>
    </w:p>
    <w:p>
      <w:pPr>
        <w:numPr>
          <w:ilvl w:val="0"/>
          <w:numId w:val="0"/>
        </w:numPr>
        <w:ind w:leftChars="0"/>
        <w:jc w:val="center"/>
        <w:rPr>
          <w:rFonts w:hint="eastAsia" w:eastAsiaTheme="minorEastAsia"/>
          <w:lang w:val="en-US" w:eastAsia="zh-CN"/>
        </w:rPr>
      </w:pPr>
      <w:r>
        <w:rPr>
          <w:rFonts w:hint="eastAsia"/>
          <w:b/>
          <w:bCs/>
          <w:lang w:val="en-US" w:eastAsia="zh-CN"/>
        </w:rPr>
        <w:t xml:space="preserve">Table 3. </w:t>
      </w:r>
      <w:r>
        <w:rPr>
          <w:rFonts w:hint="eastAsia"/>
          <w:b/>
          <w:bCs/>
          <w:vertAlign w:val="baseline"/>
          <w:lang w:val="en-US" w:eastAsia="zh-CN"/>
        </w:rPr>
        <w:t xml:space="preserve">Max PRACH density in time domain, for </w:t>
      </w:r>
      <w:r>
        <w:rPr>
          <w:b/>
          <w:bCs/>
        </w:rPr>
        <w:t>FR</w:t>
      </w:r>
      <w:r>
        <w:rPr>
          <w:rFonts w:hint="eastAsia"/>
          <w:b/>
          <w:bCs/>
          <w:lang w:val="en-US" w:eastAsia="zh-CN"/>
        </w:rPr>
        <w:t>2</w:t>
      </w:r>
      <w:r>
        <w:rPr>
          <w:b/>
          <w:bCs/>
        </w:rPr>
        <w:t xml:space="preserve"> and unpaired spectrum</w: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2893"/>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Preamble format</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eastAsia="Batang"/>
              </w:rPr>
              <w:t>PRACH</w:t>
            </w:r>
            <w:r>
              <w:rPr>
                <w:rFonts w:hint="eastAsia" w:eastAsia="宋体"/>
                <w:lang w:val="en-US" w:eastAsia="zh-CN"/>
              </w:rPr>
              <w:t xml:space="preserve"> </w:t>
            </w:r>
            <w:r>
              <w:rPr>
                <w:rFonts w:eastAsia="Batang"/>
              </w:rPr>
              <w:t>Configuration Index</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Max PRACH density in time domain (number/ms)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58</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A3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87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B1</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110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237</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B3</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255</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B4</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141</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C0</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171</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C2</w:t>
            </w:r>
          </w:p>
        </w:tc>
        <w:tc>
          <w:tcPr>
            <w:tcW w:w="2893"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200</w:t>
            </w:r>
          </w:p>
        </w:tc>
        <w:tc>
          <w:tcPr>
            <w:tcW w:w="478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eastAsiaTheme="minorEastAsia"/>
                <w:vertAlign w:val="baseline"/>
                <w:lang w:val="en-US" w:eastAsia="zh-CN"/>
              </w:rPr>
            </w:pPr>
            <w:r>
              <w:rPr>
                <w:rFonts w:hint="eastAsia"/>
                <w:vertAlign w:val="baseline"/>
                <w:lang w:val="en-US" w:eastAsia="zh-CN"/>
              </w:rPr>
              <w:t>4</w:t>
            </w:r>
          </w:p>
        </w:tc>
      </w:tr>
    </w:tbl>
    <w:p>
      <w:pPr>
        <w:rPr>
          <w:rFonts w:hint="eastAsia" w:eastAsia="宋体"/>
          <w:lang w:val="en-US" w:eastAsia="zh-CN"/>
        </w:rPr>
      </w:pPr>
    </w:p>
    <w:p>
      <w:pPr>
        <w:rPr>
          <w:rFonts w:hint="eastAsia"/>
          <w:lang w:val="en-US" w:eastAsia="zh-CN"/>
        </w:rPr>
      </w:pPr>
      <w:r>
        <w:rPr>
          <w:rFonts w:hint="eastAsia" w:eastAsia="宋体"/>
          <w:lang w:val="en-US" w:eastAsia="zh-CN"/>
        </w:rPr>
        <w:t xml:space="preserve">The maximum RACH density is summarized below, for </w:t>
      </w:r>
      <w:r>
        <w:t>FR1</w:t>
      </w:r>
      <w:r>
        <w:rPr>
          <w:rFonts w:hint="eastAsia"/>
          <w:lang w:val="en-US" w:eastAsia="zh-CN"/>
        </w:rPr>
        <w:t>/</w:t>
      </w:r>
      <w:r>
        <w:t xml:space="preserve">FR2 and </w:t>
      </w:r>
      <w:r>
        <w:rPr>
          <w:rFonts w:hint="eastAsia"/>
          <w:lang w:val="en-US" w:eastAsia="zh-CN"/>
        </w:rPr>
        <w:t xml:space="preserve">different </w:t>
      </w:r>
      <w:r>
        <w:t>spectrum type</w:t>
      </w:r>
      <w:r>
        <w:rPr>
          <w:rFonts w:hint="eastAsia"/>
          <w:lang w:val="en-US" w:eastAsia="zh-CN"/>
        </w:rPr>
        <w:t xml:space="preserve">. In Table 4, 64 preambles are considered as defined in current NR specification. To simplify our analysis, it is assumed that all these 64 preambles are used for contention-based RACH.  </w:t>
      </w:r>
    </w:p>
    <w:p>
      <w:pPr>
        <w:rPr>
          <w:rFonts w:hint="eastAsia"/>
          <w:lang w:val="en-US" w:eastAsia="zh-CN"/>
        </w:rPr>
      </w:pPr>
      <w:r>
        <w:rPr>
          <w:rFonts w:hint="eastAsia"/>
          <w:lang w:val="en-US" w:eastAsia="zh-CN"/>
        </w:rPr>
        <w:t>It should be noted that:</w:t>
      </w:r>
    </w:p>
    <w:p>
      <w:pPr>
        <w:numPr>
          <w:ilvl w:val="0"/>
          <w:numId w:val="6"/>
        </w:numPr>
        <w:ind w:left="420" w:leftChars="0" w:hanging="420" w:firstLineChars="0"/>
        <w:rPr>
          <w:rFonts w:hint="eastAsia"/>
          <w:lang w:val="en-US" w:eastAsia="zh-CN"/>
        </w:rPr>
      </w:pPr>
      <w:r>
        <w:rPr>
          <w:rFonts w:hint="eastAsia"/>
          <w:lang w:val="en-US" w:eastAsia="zh-CN"/>
        </w:rPr>
        <w:t>The values provided in Table 4 are achievable with specific configurations only, at the cost of maximum time-frequency resource overhead.</w:t>
      </w:r>
    </w:p>
    <w:p>
      <w:pPr>
        <w:numPr>
          <w:ilvl w:val="0"/>
          <w:numId w:val="6"/>
        </w:numPr>
        <w:ind w:left="420" w:leftChars="0" w:hanging="420" w:firstLineChars="0"/>
        <w:rPr>
          <w:rFonts w:hint="eastAsia"/>
          <w:lang w:val="en-US" w:eastAsia="zh-CN"/>
        </w:rPr>
      </w:pPr>
      <w:r>
        <w:rPr>
          <w:rFonts w:hint="eastAsia"/>
          <w:lang w:val="en-US" w:eastAsia="zh-CN"/>
        </w:rPr>
        <w:t xml:space="preserve">Current combination of </w:t>
      </w:r>
      <w:r>
        <w:rPr>
          <w:rFonts w:hint="default"/>
          <w:lang w:val="en-US" w:eastAsia="zh-CN"/>
        </w:rPr>
        <w:t>“</w:t>
      </w:r>
      <w:r>
        <w:t>FR1</w:t>
      </w:r>
      <w:r>
        <w:rPr>
          <w:rFonts w:hint="eastAsia"/>
          <w:lang w:val="en-US" w:eastAsia="zh-CN"/>
        </w:rPr>
        <w:t>/</w:t>
      </w:r>
      <w:r>
        <w:t>FR2 and the spectrum type</w:t>
      </w:r>
      <w:r>
        <w:rPr>
          <w:rFonts w:hint="default"/>
          <w:lang w:val="en-US" w:eastAsia="zh-CN"/>
        </w:rPr>
        <w:t>”</w:t>
      </w:r>
      <w:r>
        <w:rPr>
          <w:rFonts w:hint="eastAsia"/>
          <w:lang w:val="en-US" w:eastAsia="zh-CN"/>
        </w:rPr>
        <w:t xml:space="preserve"> and </w:t>
      </w:r>
      <w:r>
        <w:rPr>
          <w:rFonts w:hint="default"/>
          <w:lang w:val="en-US" w:eastAsia="zh-CN"/>
        </w:rPr>
        <w:t>“</w:t>
      </w:r>
      <w:r>
        <w:rPr>
          <w:rFonts w:eastAsia="Batang"/>
        </w:rPr>
        <w:t>PRACH</w:t>
      </w:r>
      <w:r>
        <w:rPr>
          <w:rFonts w:hint="eastAsia" w:eastAsia="宋体"/>
          <w:lang w:val="en-US" w:eastAsia="zh-CN"/>
        </w:rPr>
        <w:t xml:space="preserve"> </w:t>
      </w:r>
      <w:r>
        <w:rPr>
          <w:rFonts w:eastAsia="Batang"/>
        </w:rPr>
        <w:t>Configuration Index</w:t>
      </w:r>
      <w:r>
        <w:rPr>
          <w:rFonts w:hint="default"/>
          <w:lang w:val="en-US" w:eastAsia="zh-CN"/>
        </w:rPr>
        <w:t>”</w:t>
      </w:r>
      <w:r>
        <w:t xml:space="preserve"> </w:t>
      </w:r>
      <w:r>
        <w:rPr>
          <w:rFonts w:hint="eastAsia"/>
          <w:lang w:val="en-US" w:eastAsia="zh-CN"/>
        </w:rPr>
        <w:t>may not be appropriate for NTN deployment. Therefore suitable combinations is to be investigated further.</w:t>
      </w:r>
    </w:p>
    <w:p>
      <w:pPr>
        <w:numPr>
          <w:ilvl w:val="0"/>
          <w:numId w:val="0"/>
        </w:numPr>
        <w:ind w:leftChars="0"/>
        <w:jc w:val="center"/>
        <w:rPr>
          <w:rFonts w:hint="eastAsia" w:eastAsiaTheme="minorEastAsia"/>
          <w:lang w:val="en-US" w:eastAsia="zh-CN"/>
        </w:rPr>
      </w:pPr>
      <w:r>
        <w:rPr>
          <w:rFonts w:hint="eastAsia"/>
          <w:b/>
          <w:bCs/>
          <w:lang w:val="en-US" w:eastAsia="zh-CN"/>
        </w:rPr>
        <w:t>Table 4. Summary of m</w:t>
      </w:r>
      <w:r>
        <w:rPr>
          <w:rFonts w:hint="eastAsia"/>
          <w:b/>
          <w:bCs/>
          <w:vertAlign w:val="baseline"/>
          <w:lang w:val="en-US" w:eastAsia="zh-CN"/>
        </w:rPr>
        <w:t>ax PRACH density in time/freq domain</w:t>
      </w:r>
    </w:p>
    <w:tbl>
      <w:tblPr>
        <w:tblStyle w:val="65"/>
        <w:tblW w:w="7475" w:type="dxa"/>
        <w:jc w:val="center"/>
        <w:tblInd w:w="11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81"/>
        <w:gridCol w:w="3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PRACH density in time/frequency domain</w:t>
            </w:r>
          </w:p>
          <w:p>
            <w:pPr>
              <w:keepNext w:val="0"/>
              <w:keepLines w:val="0"/>
              <w:widowControl/>
              <w:suppressLineNumbers w:val="0"/>
              <w:jc w:val="center"/>
              <w:textAlignment w:val="top"/>
              <w:rPr>
                <w:rFonts w:hint="eastAsia" w:ascii="微软雅黑" w:hAnsi="微软雅黑" w:eastAsia="微软雅黑" w:cs="微软雅黑"/>
                <w:b/>
                <w:i w:val="0"/>
                <w:color w:val="000000"/>
                <w:sz w:val="16"/>
                <w:szCs w:val="16"/>
                <w:u w:val="none"/>
              </w:rPr>
            </w:pPr>
            <w:r>
              <w:rPr>
                <w:rFonts w:hint="eastAsia" w:ascii="微软雅黑" w:hAnsi="微软雅黑" w:eastAsia="微软雅黑" w:cs="微软雅黑"/>
                <w:b/>
                <w:i w:val="0"/>
                <w:color w:val="000000"/>
                <w:kern w:val="0"/>
                <w:sz w:val="16"/>
                <w:szCs w:val="16"/>
                <w:u w:val="none"/>
                <w:lang w:val="en-US" w:eastAsia="zh-CN" w:bidi="ar"/>
              </w:rPr>
              <w:t>(number/second)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14*8*1000*64 = 7168000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4.8*8*1000*64 = 2457600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jc w:val="center"/>
        </w:trPr>
        <w:tc>
          <w:tcPr>
            <w:tcW w:w="36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379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微软雅黑" w:hAnsi="微软雅黑" w:eastAsia="微软雅黑" w:cs="微软雅黑"/>
                <w:i w:val="0"/>
                <w:color w:val="000000"/>
                <w:sz w:val="16"/>
                <w:szCs w:val="16"/>
                <w:u w:val="none"/>
              </w:rPr>
            </w:pPr>
            <w:r>
              <w:rPr>
                <w:rFonts w:hint="eastAsia" w:ascii="微软雅黑" w:hAnsi="微软雅黑" w:eastAsia="微软雅黑" w:cs="微软雅黑"/>
                <w:i w:val="0"/>
                <w:color w:val="000000"/>
                <w:kern w:val="0"/>
                <w:sz w:val="16"/>
                <w:szCs w:val="16"/>
                <w:u w:val="none"/>
                <w:lang w:val="en-US" w:eastAsia="zh-CN" w:bidi="ar"/>
              </w:rPr>
              <w:t>14*8*1000*64 = 7168000</w:t>
            </w:r>
          </w:p>
        </w:tc>
      </w:tr>
    </w:tbl>
    <w:p>
      <w:pPr>
        <w:rPr>
          <w:rFonts w:hint="eastAsia"/>
          <w:b/>
          <w:bCs/>
          <w:color w:val="000000"/>
          <w:lang w:val="en-US" w:eastAsia="zh-CN"/>
        </w:rPr>
      </w:pPr>
    </w:p>
    <w:p>
      <w:pPr>
        <w:rPr>
          <w:rFonts w:hint="eastAsia"/>
          <w:b/>
          <w:bCs/>
          <w:lang w:val="en-US" w:eastAsia="zh-CN"/>
        </w:rPr>
      </w:pPr>
      <w:r>
        <w:rPr>
          <w:rFonts w:hint="eastAsia"/>
          <w:b/>
          <w:bCs/>
          <w:color w:val="000000"/>
          <w:lang w:val="en-US" w:eastAsia="zh-CN"/>
        </w:rPr>
        <w:t xml:space="preserve">Observation 3: </w:t>
      </w:r>
      <w:r>
        <w:rPr>
          <w:rFonts w:hint="eastAsia"/>
          <w:b/>
          <w:bCs/>
          <w:lang w:val="en-US" w:eastAsia="zh-CN"/>
        </w:rPr>
        <w:t xml:space="preserve">Current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b/>
          <w:bCs/>
        </w:rPr>
        <w:t xml:space="preserve"> </w:t>
      </w:r>
      <w:r>
        <w:rPr>
          <w:rFonts w:hint="eastAsia"/>
          <w:b/>
          <w:bCs/>
          <w:lang w:val="en-US" w:eastAsia="zh-CN"/>
        </w:rPr>
        <w:t>may not be appropriate for NTN deployment.</w:t>
      </w:r>
    </w:p>
    <w:p>
      <w:pPr>
        <w:rPr>
          <w:rFonts w:hint="eastAsia"/>
          <w:b/>
          <w:bCs/>
          <w:lang w:val="en-US" w:eastAsia="zh-CN"/>
        </w:rPr>
      </w:pPr>
      <w:r>
        <w:rPr>
          <w:rFonts w:hint="eastAsia"/>
          <w:b/>
          <w:bCs/>
          <w:color w:val="000000"/>
          <w:lang w:val="en-US" w:eastAsia="zh-CN"/>
        </w:rPr>
        <w:t>Proposal 1: Suitable</w:t>
      </w:r>
      <w:r>
        <w:rPr>
          <w:rFonts w:hint="eastAsia"/>
          <w:b/>
          <w:bCs/>
          <w:lang w:val="en-US" w:eastAsia="zh-CN"/>
        </w:rPr>
        <w:t xml:space="preserve">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rFonts w:hint="eastAsia"/>
          <w:b/>
          <w:bCs/>
          <w:lang w:val="en-US" w:eastAsia="zh-CN"/>
        </w:rPr>
        <w:t xml:space="preserve"> should be investigated for NTN deployment.</w:t>
      </w:r>
    </w:p>
    <w:p>
      <w:pPr>
        <w:rPr>
          <w:rFonts w:hint="eastAsia"/>
          <w:lang w:val="en-US" w:eastAsia="zh-CN"/>
        </w:rPr>
      </w:pPr>
      <w:r>
        <w:rPr>
          <w:rFonts w:hint="eastAsia"/>
          <w:lang w:val="en-US" w:eastAsia="zh-CN"/>
        </w:rPr>
        <w:t>T</w:t>
      </w:r>
      <w:r>
        <w:t xml:space="preserve">he collision probability can be expressed as </w:t>
      </w:r>
      <w:r>
        <w:rPr>
          <w:position w:val="-8"/>
          <w:sz w:val="21"/>
          <w:szCs w:val="24"/>
        </w:rPr>
        <w:object>
          <v:shape id="_x0000_i1025" o:spt="75" type="#_x0000_t75" style="height:16.3pt;width:80.2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r>
        <w:rPr>
          <w:rFonts w:hint="eastAsia"/>
          <w:sz w:val="21"/>
          <w:szCs w:val="24"/>
          <w:lang w:val="en-US" w:eastAsia="zh-CN"/>
        </w:rPr>
        <w:t xml:space="preserve"> </w:t>
      </w:r>
      <w:r>
        <w:rPr>
          <w:rFonts w:hint="eastAsia"/>
          <w:lang w:val="en-US" w:eastAsia="zh-CN"/>
        </w:rPr>
        <w:t xml:space="preserve">according to [3]. In this formula, </w:t>
      </w:r>
      <w:r>
        <w:rPr>
          <w:position w:val="-4"/>
        </w:rPr>
        <w:object>
          <v:shape id="_x0000_i1026" o:spt="75" type="#_x0000_t75" style="height:8.55pt;width:7.8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r>
        <w:t xml:space="preserve"> is the total number of </w:t>
      </w:r>
      <w:r>
        <w:rPr>
          <w:rFonts w:hint="eastAsia"/>
          <w:lang w:val="en-US" w:eastAsia="zh-CN"/>
        </w:rPr>
        <w:t xml:space="preserve">RACH </w:t>
      </w:r>
      <w:r>
        <w:t xml:space="preserve">opportunities per second </w:t>
      </w:r>
      <w:r>
        <w:rPr>
          <w:rFonts w:hint="eastAsia"/>
          <w:lang w:val="en-US" w:eastAsia="zh-CN"/>
        </w:rPr>
        <w:t xml:space="preserve">(corresponding to values in Table 4), </w:t>
      </w:r>
      <w:r>
        <w:t xml:space="preserve">and </w:t>
      </w:r>
      <w:r>
        <w:rPr/>
        <w:sym w:font="Symbol" w:char="F067"/>
      </w:r>
      <w:r>
        <w:t xml:space="preserve"> is the </w:t>
      </w:r>
      <w:r>
        <w:rPr>
          <w:rFonts w:hint="eastAsia"/>
          <w:lang w:val="en-US" w:eastAsia="zh-CN"/>
        </w:rPr>
        <w:t xml:space="preserve">RACH attempt density with unit of </w:t>
      </w:r>
      <w:r>
        <w:t>attempts</w:t>
      </w:r>
      <w:r>
        <w:rPr>
          <w:rFonts w:hint="eastAsia"/>
          <w:lang w:val="en-US" w:eastAsia="zh-CN"/>
        </w:rPr>
        <w:t>/</w:t>
      </w:r>
      <w:r>
        <w:t>second</w:t>
      </w:r>
      <w:r>
        <w:rPr>
          <w:rFonts w:hint="eastAsia"/>
          <w:lang w:val="en-US" w:eastAsia="zh-CN"/>
        </w:rPr>
        <w:t>/</w:t>
      </w:r>
      <w:r>
        <w:t xml:space="preserve">cell. </w:t>
      </w:r>
      <w:r>
        <w:rPr>
          <w:rFonts w:hint="eastAsia"/>
          <w:lang w:val="en-US" w:eastAsia="zh-CN"/>
        </w:rPr>
        <w:t xml:space="preserve">To achieve a reasonable collision probability, e.g., </w:t>
      </w:r>
      <w:r>
        <w:rPr>
          <w:position w:val="-8"/>
        </w:rPr>
        <w:object>
          <v:shape id="_x0000_i1027"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7" DrawAspect="Content" ObjectID="_1468075727" r:id="rId11">
            <o:LockedField>false</o:LockedField>
          </o:OLEObject>
        </w:object>
      </w:r>
      <w:r>
        <w:rPr>
          <w:rFonts w:hint="eastAsia"/>
          <w:lang w:val="en-US" w:eastAsia="zh-CN"/>
        </w:rPr>
        <w:t>, supportable RACH attempt density is calculated as in Table 5.</w:t>
      </w:r>
    </w:p>
    <w:p>
      <w:pPr>
        <w:numPr>
          <w:ilvl w:val="0"/>
          <w:numId w:val="0"/>
        </w:numPr>
        <w:ind w:leftChars="0"/>
        <w:jc w:val="center"/>
        <w:rPr>
          <w:rFonts w:hint="eastAsia" w:eastAsiaTheme="minorEastAsia"/>
          <w:lang w:val="en-US" w:eastAsia="zh-CN"/>
        </w:rPr>
      </w:pPr>
      <w:r>
        <w:rPr>
          <w:rFonts w:hint="eastAsia"/>
          <w:b/>
          <w:bCs/>
          <w:lang w:val="en-US" w:eastAsia="zh-CN"/>
        </w:rPr>
        <w:t xml:space="preserve">Table 5. </w:t>
      </w:r>
      <w:bookmarkStart w:id="10" w:name="_GoBack"/>
      <w:bookmarkEnd w:id="10"/>
      <w:r>
        <w:rPr>
          <w:rFonts w:hint="eastAsia"/>
          <w:b/>
          <w:bCs/>
          <w:vertAlign w:val="baseline"/>
          <w:lang w:val="en-US" w:eastAsia="zh-CN"/>
        </w:rPr>
        <w:t xml:space="preserve">Maximum RACH attempts supported per cell, with </w:t>
      </w:r>
      <w:r>
        <w:rPr>
          <w:b/>
          <w:bCs/>
          <w:position w:val="-8"/>
        </w:rPr>
        <w:object>
          <v:shape id="_x0000_i1028"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8" DrawAspect="Content" ObjectID="_1468075728" r:id="rId13">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0"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5237"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-2457600*ln(1-0.01) = 24700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bl>
    <w:p>
      <w:pPr>
        <w:rPr>
          <w:rFonts w:hint="eastAsia"/>
          <w:lang w:val="en-US" w:eastAsia="zh-CN"/>
        </w:rPr>
      </w:pPr>
    </w:p>
    <w:p>
      <w:pPr>
        <w:pStyle w:val="3"/>
        <w:numPr>
          <w:ilvl w:val="1"/>
          <w:numId w:val="3"/>
        </w:numPr>
        <w:ind w:left="567" w:leftChars="0" w:hanging="567" w:firstLineChars="0"/>
        <w:rPr>
          <w:rFonts w:hint="eastAsia"/>
          <w:b w:val="0"/>
          <w:bCs w:val="0"/>
          <w:sz w:val="30"/>
          <w:szCs w:val="30"/>
          <w:lang w:val="en-US" w:eastAsia="zh-CN"/>
        </w:rPr>
      </w:pPr>
      <w:r>
        <w:rPr>
          <w:rFonts w:hint="eastAsia"/>
          <w:b w:val="0"/>
          <w:bCs w:val="0"/>
          <w:sz w:val="30"/>
          <w:szCs w:val="30"/>
          <w:lang w:val="en-US" w:eastAsia="zh-CN"/>
        </w:rPr>
        <w:t>Estimated RACH requirements in NTN</w:t>
      </w:r>
    </w:p>
    <w:p>
      <w:pPr>
        <w:rPr>
          <w:rFonts w:hint="eastAsia" w:eastAsia="宋体"/>
          <w:lang w:val="en-US" w:eastAsia="zh-CN"/>
        </w:rPr>
      </w:pPr>
      <w:r>
        <w:rPr>
          <w:rFonts w:hint="eastAsia" w:eastAsia="宋体"/>
          <w:lang w:val="en-US" w:eastAsia="zh-CN"/>
        </w:rPr>
        <w:t xml:space="preserve">With the </w:t>
      </w:r>
      <w:r>
        <w:rPr>
          <w:rFonts w:hint="default" w:eastAsia="宋体"/>
          <w:lang w:val="en-US" w:eastAsia="zh-CN"/>
        </w:rPr>
        <w:t>“</w:t>
      </w:r>
      <w:r>
        <w:rPr>
          <w:rFonts w:hint="eastAsia" w:ascii="微软雅黑" w:hAnsi="微软雅黑" w:eastAsia="微软雅黑" w:cs="微软雅黑"/>
          <w:b/>
          <w:i w:val="0"/>
          <w:color w:val="000000"/>
          <w:kern w:val="0"/>
          <w:sz w:val="16"/>
          <w:szCs w:val="16"/>
          <w:u w:val="none"/>
          <w:lang w:val="en-US" w:eastAsia="zh-CN" w:bidi="ar"/>
        </w:rPr>
        <w:t>Max RACH attempt supported per cell</w:t>
      </w:r>
      <w:r>
        <w:rPr>
          <w:rFonts w:hint="default" w:eastAsia="宋体"/>
          <w:lang w:val="en-US" w:eastAsia="zh-CN"/>
        </w:rPr>
        <w:t>”</w:t>
      </w:r>
      <w:r>
        <w:rPr>
          <w:rFonts w:hint="eastAsia" w:eastAsia="宋体"/>
          <w:lang w:val="en-US" w:eastAsia="zh-CN"/>
        </w:rPr>
        <w:t xml:space="preserve"> calculated in table 5, the maximum UE density supported should fulfill the equation as follow:</w:t>
      </w:r>
    </w:p>
    <w:p>
      <w:pPr>
        <w:rPr>
          <w:rFonts w:hint="default" w:ascii="微软雅黑" w:hAnsi="微软雅黑" w:eastAsia="微软雅黑" w:cs="微软雅黑"/>
          <w:b/>
          <w:bCs/>
          <w:i w:val="0"/>
          <w:color w:val="000000"/>
          <w:kern w:val="0"/>
          <w:sz w:val="16"/>
          <w:szCs w:val="16"/>
          <w:u w:val="none"/>
          <w:lang w:val="en-US" w:eastAsia="zh-CN" w:bidi="ar"/>
        </w:rPr>
      </w:pP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user density</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&lt;=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Therefore, the maximum user density supported can be calculated with the formula as follow:</w:t>
      </w:r>
    </w:p>
    <w:p>
      <w:pPr>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 xml:space="preserve">Maximum User density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Max RACH attempt supported</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cell coverage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 xml:space="preserve"> * </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RACH requirement per UE</w:t>
      </w:r>
      <w:r>
        <w:rPr>
          <w:rFonts w:hint="default" w:ascii="微软雅黑" w:hAnsi="微软雅黑" w:eastAsia="微软雅黑" w:cs="微软雅黑"/>
          <w:b/>
          <w:bCs/>
          <w:i w:val="0"/>
          <w:color w:val="000000"/>
          <w:kern w:val="0"/>
          <w:sz w:val="16"/>
          <w:szCs w:val="16"/>
          <w:u w:val="none"/>
          <w:lang w:val="en-US" w:eastAsia="zh-CN" w:bidi="ar"/>
        </w:rPr>
        <w:t>”</w:t>
      </w:r>
      <w:r>
        <w:rPr>
          <w:rFonts w:hint="eastAsia" w:ascii="微软雅黑" w:hAnsi="微软雅黑" w:eastAsia="微软雅黑" w:cs="微软雅黑"/>
          <w:b/>
          <w:bCs/>
          <w:i w:val="0"/>
          <w:color w:val="000000"/>
          <w:kern w:val="0"/>
          <w:sz w:val="16"/>
          <w:szCs w:val="16"/>
          <w:u w:val="none"/>
          <w:lang w:val="en-US" w:eastAsia="zh-CN" w:bidi="ar"/>
        </w:rPr>
        <w:t>)</w:t>
      </w:r>
    </w:p>
    <w:p>
      <w:pPr>
        <w:rPr>
          <w:rFonts w:hint="eastAsia" w:eastAsia="宋体"/>
          <w:lang w:val="en-US" w:eastAsia="zh-CN"/>
        </w:rPr>
      </w:pPr>
      <w:r>
        <w:rPr>
          <w:rFonts w:hint="eastAsia" w:eastAsia="宋体"/>
          <w:lang w:val="en-US" w:eastAsia="zh-CN"/>
        </w:rPr>
        <w:t>For the RACH requirement per UE, the following assumption are used in the RACH capacity estimation in RAN1 [4]:</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Initial access: 1 every 10min</w:t>
      </w:r>
      <w:r>
        <w:rPr>
          <w:rFonts w:hint="eastAsia"/>
          <w:sz w:val="21"/>
          <w:szCs w:val="21"/>
          <w:lang w:val="en-US" w:eastAsia="zh-CN"/>
        </w:rPr>
        <w:t xml:space="preserve"> </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 xml:space="preserve">Handover: 1 every </w:t>
      </w:r>
      <w:r>
        <w:rPr>
          <w:rFonts w:hint="eastAsia"/>
          <w:sz w:val="21"/>
          <w:szCs w:val="21"/>
          <w:lang w:val="en-US" w:eastAsia="zh-CN"/>
        </w:rPr>
        <w:t>10min (For LEO, considering the handover is still required even the UE is static)</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Paging: 1 every 10min</w:t>
      </w:r>
    </w:p>
    <w:p>
      <w:pPr>
        <w:widowControl w:val="0"/>
        <w:numPr>
          <w:ilvl w:val="0"/>
          <w:numId w:val="7"/>
        </w:numPr>
        <w:spacing w:before="120" w:beforeLines="50"/>
        <w:ind w:left="420" w:leftChars="0" w:hanging="420" w:firstLineChars="0"/>
        <w:jc w:val="both"/>
        <w:rPr>
          <w:sz w:val="21"/>
          <w:szCs w:val="21"/>
          <w:lang w:val="en-US"/>
        </w:rPr>
      </w:pPr>
      <w:r>
        <w:rPr>
          <w:sz w:val="21"/>
          <w:szCs w:val="21"/>
          <w:lang w:val="en-US"/>
        </w:rPr>
        <w:t>Other SI: 1every 10min</w:t>
      </w:r>
    </w:p>
    <w:p>
      <w:pPr>
        <w:rPr>
          <w:rFonts w:hint="eastAsia"/>
          <w:b/>
          <w:bCs/>
          <w:sz w:val="21"/>
          <w:szCs w:val="21"/>
          <w:lang w:val="en-US" w:eastAsia="zh-CN"/>
        </w:rPr>
      </w:pPr>
      <w:r>
        <w:rPr>
          <w:rFonts w:hint="eastAsia" w:eastAsia="宋体"/>
          <w:lang w:val="en-US" w:eastAsia="zh-CN"/>
        </w:rPr>
        <w:t xml:space="preserve">Based on the assumption above, the overall RACH requirement per UE is </w:t>
      </w:r>
      <w:r>
        <w:rPr>
          <w:rFonts w:hint="eastAsia"/>
          <w:b/>
          <w:bCs/>
          <w:sz w:val="21"/>
          <w:szCs w:val="21"/>
          <w:lang w:val="en-US" w:eastAsia="zh-CN"/>
        </w:rPr>
        <w:t>0.001667</w:t>
      </w:r>
      <w:r>
        <w:rPr>
          <w:b/>
          <w:bCs/>
          <w:sz w:val="21"/>
          <w:szCs w:val="21"/>
          <w:lang w:val="en-US"/>
        </w:rPr>
        <w:t xml:space="preserve"> attempt</w:t>
      </w:r>
      <w:r>
        <w:rPr>
          <w:rFonts w:hint="eastAsia"/>
          <w:b/>
          <w:bCs/>
          <w:sz w:val="21"/>
          <w:szCs w:val="21"/>
          <w:lang w:val="en-US" w:eastAsia="zh-CN"/>
        </w:rPr>
        <w:t>s/second/user.</w:t>
      </w:r>
    </w:p>
    <w:p>
      <w:pPr>
        <w:rPr>
          <w:rFonts w:hint="eastAsia" w:eastAsia="宋体"/>
          <w:lang w:val="en-US" w:eastAsia="zh-CN"/>
        </w:rPr>
      </w:pPr>
      <w:r>
        <w:rPr>
          <w:rFonts w:hint="eastAsia" w:eastAsia="宋体"/>
          <w:lang w:val="en-US" w:eastAsia="zh-CN"/>
        </w:rPr>
        <w:t xml:space="preserve">Considering the service mode for NTN may be different from normal UE, besides the </w:t>
      </w:r>
      <w:r>
        <w:rPr>
          <w:rFonts w:hint="eastAsia"/>
          <w:b/>
          <w:bCs/>
          <w:sz w:val="21"/>
          <w:szCs w:val="21"/>
          <w:lang w:val="en-US" w:eastAsia="zh-CN"/>
        </w:rPr>
        <w:t>0.001667, the 0.0001667 and 0.00001667 will be evaluated as well.</w:t>
      </w:r>
    </w:p>
    <w:p>
      <w:pPr>
        <w:rPr>
          <w:rFonts w:hint="eastAsia"/>
          <w:sz w:val="21"/>
          <w:lang w:val="en-US" w:eastAsia="zh-CN"/>
        </w:rPr>
      </w:pPr>
      <w:r>
        <w:rPr>
          <w:rFonts w:hint="eastAsia" w:eastAsia="宋体"/>
          <w:lang w:val="en-US" w:eastAsia="zh-CN"/>
        </w:rPr>
        <w:t>With the assumption above, the evaluation result are summarized in the table as follow:</w:t>
      </w:r>
    </w:p>
    <w:p>
      <w:pPr>
        <w:numPr>
          <w:ilvl w:val="0"/>
          <w:numId w:val="0"/>
        </w:numPr>
        <w:ind w:leftChars="0"/>
        <w:jc w:val="center"/>
        <w:rPr>
          <w:rFonts w:hint="eastAsia"/>
          <w:b/>
          <w:bCs/>
          <w:lang w:val="en-US" w:eastAsia="zh-CN"/>
        </w:rPr>
      </w:pPr>
      <w:r>
        <w:rPr>
          <w:rFonts w:hint="eastAsia"/>
          <w:b/>
          <w:bCs/>
          <w:lang w:val="en-US" w:eastAsia="zh-CN"/>
        </w:rPr>
        <w:t xml:space="preserve">Table 7.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FR2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5402.0</w:t>
            </w:r>
          </w:p>
        </w:tc>
      </w:tr>
    </w:tbl>
    <w:p>
      <w:pPr>
        <w:rPr>
          <w:rFonts w:hint="eastAsia" w:eastAsia="宋体"/>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8. User density supported for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1852.1</w:t>
            </w:r>
          </w:p>
        </w:tc>
      </w:tr>
    </w:tbl>
    <w:p>
      <w:pPr>
        <w:rPr>
          <w:rFonts w:hint="eastAsia" w:eastAsia="宋体"/>
          <w:lang w:val="en-US" w:eastAsia="zh-CN"/>
        </w:rPr>
      </w:pPr>
    </w:p>
    <w:p>
      <w:pPr>
        <w:jc w:val="both"/>
        <w:rPr>
          <w:rFonts w:hint="eastAsia" w:eastAsia="宋体"/>
          <w:lang w:val="en-US" w:eastAsia="zh-CN"/>
        </w:rPr>
      </w:pPr>
      <w:r>
        <w:rPr>
          <w:rFonts w:hint="eastAsia"/>
          <w:lang w:val="en-US" w:eastAsia="zh-CN"/>
        </w:rPr>
        <w:t xml:space="preserve">Based on Table 7 and Table 8, it can be observed that the user density is quite limited due to the lack of RACH capacity. Considering the mMTC has be listed as one of the potential use case for NTN and the RACH is quite important function which will be triggered for many events, we think the RACH capacity should be improved for non-terrestrial-network. </w:t>
      </w:r>
    </w:p>
    <w:p>
      <w:pPr>
        <w:jc w:val="both"/>
        <w:rPr>
          <w:rFonts w:hint="eastAsia"/>
          <w:b/>
          <w:bCs/>
          <w:lang w:val="en-US" w:eastAsia="zh-CN"/>
        </w:rPr>
      </w:pPr>
      <w:r>
        <w:rPr>
          <w:rFonts w:hint="eastAsia"/>
          <w:b/>
          <w:bCs/>
          <w:lang w:val="en-US" w:eastAsia="zh-CN"/>
        </w:rPr>
        <w:t>Proposal 2: In order to show the challenge on RACH capacity in NTN scenario, the evaluation of RACH density and user density should be captured in the TR.</w:t>
      </w:r>
    </w:p>
    <w:p>
      <w:pPr>
        <w:jc w:val="both"/>
        <w:rPr>
          <w:rFonts w:hint="eastAsia"/>
          <w:b/>
          <w:bCs/>
          <w:lang w:val="en-US" w:eastAsia="zh-CN"/>
        </w:rPr>
      </w:pPr>
      <w:r>
        <w:rPr>
          <w:rFonts w:hint="eastAsia"/>
          <w:b/>
          <w:bCs/>
          <w:lang w:val="en-US" w:eastAsia="zh-CN"/>
        </w:rPr>
        <w:t xml:space="preserve">Proposal 3: The RACH capacity in </w:t>
      </w:r>
      <w:r>
        <w:rPr>
          <w:rFonts w:hint="eastAsia"/>
          <w:b/>
        </w:rPr>
        <w:t>non-terrestrial-network should be improved</w:t>
      </w:r>
      <w:r>
        <w:rPr>
          <w:rFonts w:hint="eastAsia"/>
          <w:b/>
          <w:bCs/>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rFonts w:hint="eastAsia"/>
        </w:rPr>
      </w:pPr>
      <w:r>
        <w:rPr>
          <w:rFonts w:hint="eastAsia"/>
        </w:rPr>
        <w:t xml:space="preserve">With the above analysis, we have the following </w:t>
      </w:r>
      <w:r>
        <w:rPr>
          <w:rFonts w:hint="eastAsia"/>
          <w:lang w:val="en-US" w:eastAsia="zh-CN"/>
        </w:rPr>
        <w:t xml:space="preserve">observation and </w:t>
      </w:r>
      <w:r>
        <w:rPr>
          <w:rFonts w:hint="eastAsia"/>
        </w:rPr>
        <w:t>proposals:</w:t>
      </w:r>
    </w:p>
    <w:p>
      <w:pPr>
        <w:rPr>
          <w:rFonts w:hint="eastAsia" w:eastAsia="宋体"/>
          <w:b/>
          <w:bCs/>
          <w:lang w:val="en-US" w:eastAsia="zh-CN"/>
        </w:rPr>
      </w:pPr>
      <w:r>
        <w:rPr>
          <w:rFonts w:hint="eastAsia" w:eastAsia="宋体"/>
          <w:b/>
          <w:bCs/>
          <w:lang w:val="en-US" w:eastAsia="zh-CN"/>
        </w:rPr>
        <w:t>Observation 1: The typical beam foot print size is 200-1000km (i.e. a beam coverage is about 31416km</w:t>
      </w:r>
      <w:r>
        <w:rPr>
          <w:rFonts w:hint="eastAsia" w:eastAsia="宋体"/>
          <w:b/>
          <w:bCs/>
          <w:vertAlign w:val="superscript"/>
          <w:lang w:val="en-US" w:eastAsia="zh-CN"/>
        </w:rPr>
        <w:t>2</w:t>
      </w:r>
      <w:r>
        <w:rPr>
          <w:rFonts w:hint="eastAsia" w:eastAsia="宋体"/>
          <w:b/>
          <w:bCs/>
          <w:lang w:val="en-US" w:eastAsia="zh-CN"/>
        </w:rPr>
        <w:t xml:space="preserve"> - 785398km</w:t>
      </w:r>
      <w:r>
        <w:rPr>
          <w:rFonts w:hint="eastAsia" w:eastAsia="宋体"/>
          <w:b/>
          <w:bCs/>
          <w:vertAlign w:val="superscript"/>
          <w:lang w:val="en-US" w:eastAsia="zh-CN"/>
        </w:rPr>
        <w:t>2</w:t>
      </w:r>
      <w:r>
        <w:rPr>
          <w:rFonts w:hint="eastAsia" w:eastAsia="宋体"/>
          <w:b/>
          <w:bCs/>
          <w:lang w:val="en-US" w:eastAsia="zh-CN"/>
        </w:rPr>
        <w:t>) for GEO and 100-500km (i.e. a beam coverage is about 7854km</w:t>
      </w:r>
      <w:r>
        <w:rPr>
          <w:rFonts w:hint="eastAsia" w:eastAsia="宋体"/>
          <w:b/>
          <w:bCs/>
          <w:vertAlign w:val="superscript"/>
          <w:lang w:val="en-US" w:eastAsia="zh-CN"/>
        </w:rPr>
        <w:t>2</w:t>
      </w:r>
      <w:r>
        <w:rPr>
          <w:rFonts w:hint="eastAsia" w:eastAsia="宋体"/>
          <w:b/>
          <w:bCs/>
          <w:lang w:val="en-US" w:eastAsia="zh-CN"/>
        </w:rPr>
        <w:t xml:space="preserve"> - 196350km</w:t>
      </w:r>
      <w:r>
        <w:rPr>
          <w:rFonts w:hint="eastAsia" w:eastAsia="宋体"/>
          <w:b/>
          <w:bCs/>
          <w:vertAlign w:val="superscript"/>
          <w:lang w:val="en-US" w:eastAsia="zh-CN"/>
        </w:rPr>
        <w:t>2</w:t>
      </w:r>
      <w:r>
        <w:rPr>
          <w:rFonts w:hint="eastAsia" w:eastAsia="宋体"/>
          <w:b/>
          <w:bCs/>
          <w:lang w:val="en-US" w:eastAsia="zh-CN"/>
        </w:rPr>
        <w:t>) for Non-GEO.</w:t>
      </w:r>
    </w:p>
    <w:p>
      <w:pPr>
        <w:rPr>
          <w:rFonts w:hint="eastAsia"/>
          <w:b/>
          <w:bCs/>
          <w:color w:val="000000"/>
          <w:lang w:val="en-US" w:eastAsia="zh-CN"/>
        </w:rPr>
      </w:pPr>
      <w:r>
        <w:rPr>
          <w:rFonts w:hint="eastAsia"/>
          <w:b/>
          <w:bCs/>
          <w:color w:val="000000"/>
          <w:lang w:val="en-US" w:eastAsia="zh-CN"/>
        </w:rPr>
        <w:t xml:space="preserve">Observation 2: </w:t>
      </w:r>
      <w:r>
        <w:rPr>
          <w:rFonts w:hint="eastAsia" w:eastAsia="宋体"/>
          <w:b/>
          <w:bCs/>
          <w:lang w:val="en-US" w:eastAsia="zh-CN"/>
        </w:rPr>
        <w:t>To support wide area IoT service, the UE density that can be supported should be investigated in NTN scenario.</w:t>
      </w:r>
    </w:p>
    <w:p>
      <w:pPr>
        <w:rPr>
          <w:rFonts w:hint="eastAsia"/>
          <w:b/>
          <w:bCs/>
          <w:lang w:val="en-US" w:eastAsia="zh-CN"/>
        </w:rPr>
      </w:pPr>
      <w:r>
        <w:rPr>
          <w:rFonts w:hint="eastAsia"/>
          <w:b/>
          <w:bCs/>
          <w:color w:val="000000"/>
          <w:lang w:val="en-US" w:eastAsia="zh-CN"/>
        </w:rPr>
        <w:t xml:space="preserve">Observation 3: </w:t>
      </w:r>
      <w:r>
        <w:rPr>
          <w:rFonts w:hint="eastAsia"/>
          <w:b/>
          <w:bCs/>
          <w:lang w:val="en-US" w:eastAsia="zh-CN"/>
        </w:rPr>
        <w:t xml:space="preserve">Current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b/>
          <w:bCs/>
        </w:rPr>
        <w:t xml:space="preserve"> </w:t>
      </w:r>
      <w:r>
        <w:rPr>
          <w:rFonts w:hint="eastAsia"/>
          <w:b/>
          <w:bCs/>
          <w:lang w:val="en-US" w:eastAsia="zh-CN"/>
        </w:rPr>
        <w:t>may not be appropriate for NTN deployment.</w:t>
      </w:r>
    </w:p>
    <w:p>
      <w:pPr>
        <w:rPr>
          <w:rFonts w:hint="eastAsia"/>
          <w:b/>
          <w:bCs/>
          <w:lang w:val="en-US" w:eastAsia="zh-CN"/>
        </w:rPr>
      </w:pPr>
      <w:r>
        <w:rPr>
          <w:rFonts w:hint="eastAsia"/>
          <w:b/>
          <w:bCs/>
          <w:color w:val="000000"/>
          <w:lang w:val="en-US" w:eastAsia="zh-CN"/>
        </w:rPr>
        <w:t>Proposal 1: Suitable</w:t>
      </w:r>
      <w:r>
        <w:rPr>
          <w:rFonts w:hint="eastAsia"/>
          <w:b/>
          <w:bCs/>
          <w:lang w:val="en-US" w:eastAsia="zh-CN"/>
        </w:rPr>
        <w:t xml:space="preserve"> combination of </w:t>
      </w:r>
      <w:r>
        <w:rPr>
          <w:rFonts w:hint="default"/>
          <w:b/>
          <w:bCs/>
          <w:lang w:val="en-US" w:eastAsia="zh-CN"/>
        </w:rPr>
        <w:t>“</w:t>
      </w:r>
      <w:r>
        <w:rPr>
          <w:b/>
          <w:bCs/>
        </w:rPr>
        <w:t>FR1</w:t>
      </w:r>
      <w:r>
        <w:rPr>
          <w:rFonts w:hint="eastAsia"/>
          <w:b/>
          <w:bCs/>
          <w:lang w:val="en-US" w:eastAsia="zh-CN"/>
        </w:rPr>
        <w:t>/</w:t>
      </w:r>
      <w:r>
        <w:rPr>
          <w:b/>
          <w:bCs/>
        </w:rPr>
        <w:t>FR2 and the spectrum type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eastAsia="Batang"/>
          <w:b/>
          <w:bCs/>
        </w:rPr>
        <w:t>PRACH</w:t>
      </w:r>
      <w:r>
        <w:rPr>
          <w:rFonts w:hint="eastAsia" w:eastAsia="宋体"/>
          <w:b/>
          <w:bCs/>
          <w:lang w:val="en-US" w:eastAsia="zh-CN"/>
        </w:rPr>
        <w:t xml:space="preserve"> </w:t>
      </w:r>
      <w:r>
        <w:rPr>
          <w:rFonts w:eastAsia="Batang"/>
          <w:b/>
          <w:bCs/>
        </w:rPr>
        <w:t>Configuration Index</w:t>
      </w:r>
      <w:r>
        <w:rPr>
          <w:rFonts w:hint="default"/>
          <w:b/>
          <w:bCs/>
          <w:lang w:val="en-US" w:eastAsia="zh-CN"/>
        </w:rPr>
        <w:t>”</w:t>
      </w:r>
      <w:r>
        <w:rPr>
          <w:rFonts w:hint="eastAsia"/>
          <w:b/>
          <w:bCs/>
          <w:lang w:val="en-US" w:eastAsia="zh-CN"/>
        </w:rPr>
        <w:t xml:space="preserve"> should be investigated for NTN deployment.</w:t>
      </w:r>
    </w:p>
    <w:p>
      <w:pPr>
        <w:jc w:val="both"/>
        <w:rPr>
          <w:rFonts w:hint="eastAsia"/>
          <w:b/>
          <w:bCs/>
          <w:lang w:val="en-US" w:eastAsia="zh-CN"/>
        </w:rPr>
      </w:pPr>
      <w:r>
        <w:rPr>
          <w:rFonts w:hint="eastAsia"/>
          <w:b/>
          <w:bCs/>
          <w:lang w:val="en-US" w:eastAsia="zh-CN"/>
        </w:rPr>
        <w:t>Proposal 2: In order to show the challenge on RACH capacity in NTN scenario, the following evaluation of RACH density and user density should be captured in the TR.</w:t>
      </w:r>
    </w:p>
    <w:p>
      <w:pPr>
        <w:numPr>
          <w:ilvl w:val="0"/>
          <w:numId w:val="0"/>
        </w:numPr>
        <w:ind w:leftChars="0"/>
        <w:jc w:val="center"/>
        <w:rPr>
          <w:rFonts w:hint="eastAsia" w:eastAsiaTheme="minorEastAsia"/>
          <w:lang w:val="en-US" w:eastAsia="zh-CN"/>
        </w:rPr>
      </w:pPr>
      <w:r>
        <w:rPr>
          <w:rFonts w:hint="eastAsia"/>
          <w:b/>
          <w:bCs/>
          <w:lang w:val="en-US" w:eastAsia="zh-CN"/>
        </w:rPr>
        <w:t xml:space="preserve">Table 5. </w:t>
      </w:r>
      <w:r>
        <w:rPr>
          <w:rFonts w:hint="eastAsia"/>
          <w:b/>
          <w:bCs/>
          <w:vertAlign w:val="baseline"/>
          <w:lang w:val="en-US" w:eastAsia="zh-CN"/>
        </w:rPr>
        <w:t xml:space="preserve">Maximum RACH attempts supported per cell, with </w:t>
      </w:r>
      <w:r>
        <w:rPr>
          <w:b/>
          <w:bCs/>
          <w:position w:val="-8"/>
        </w:rPr>
        <w:object>
          <v:shape id="_x0000_i1029" o:spt="75" type="#_x0000_t75" style="height:10.85pt;width:69.3pt;" o:ole="t" filled="f" o:preferrelative="t" stroked="f" coordsize="21600,21600">
            <v:path/>
            <v:fill on="f" focussize="0,0"/>
            <v:stroke on="f"/>
            <v:imagedata r:id="rId12" o:title=""/>
            <o:lock v:ext="edit" aspectratio="t"/>
            <w10:wrap type="none"/>
            <w10:anchorlock/>
          </v:shape>
          <o:OLEObject Type="Embed" ProgID="Equation.3" ShapeID="_x0000_i1029" DrawAspect="Content" ObjectID="_1468075729" r:id="rId14">
            <o:LockedField>false</o:LockedField>
          </o:OLEObject>
        </w:object>
      </w:r>
    </w:p>
    <w:tbl>
      <w:tblPr>
        <w:tblStyle w:val="66"/>
        <w:tblW w:w="9460" w:type="dxa"/>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FR1/FR2 and spectrum type</w:t>
            </w:r>
          </w:p>
        </w:tc>
        <w:tc>
          <w:tcPr>
            <w:tcW w:w="5237" w:type="dxa"/>
          </w:tcPr>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Max RACH attempt supported</w:t>
            </w:r>
          </w:p>
          <w:p>
            <w:pPr>
              <w:keepNext w:val="0"/>
              <w:keepLines w:val="0"/>
              <w:widowControl/>
              <w:suppressLineNumbers w:val="0"/>
              <w:jc w:val="center"/>
              <w:textAlignment w:val="top"/>
              <w:rPr>
                <w:rFonts w:hint="eastAsia" w:ascii="微软雅黑" w:hAnsi="微软雅黑" w:eastAsia="微软雅黑" w:cs="微软雅黑"/>
                <w:b/>
                <w:i w:val="0"/>
                <w:color w:val="000000"/>
                <w:kern w:val="0"/>
                <w:sz w:val="16"/>
                <w:szCs w:val="16"/>
                <w:u w:val="none"/>
                <w:lang w:val="en-US" w:eastAsia="zh-CN" w:bidi="ar"/>
              </w:rPr>
            </w:pPr>
            <w:r>
              <w:rPr>
                <w:rFonts w:hint="eastAsia" w:ascii="微软雅黑" w:hAnsi="微软雅黑" w:eastAsia="微软雅黑" w:cs="微软雅黑"/>
                <w:b/>
                <w:i w:val="0"/>
                <w:color w:val="000000"/>
                <w:kern w:val="0"/>
                <w:sz w:val="16"/>
                <w:szCs w:val="16"/>
                <w:u w:val="none"/>
                <w:lang w:val="en-US" w:eastAsia="zh-CN" w:bidi="ar"/>
              </w:rPr>
              <w:t xml:space="preserve"> (attempts/second/cell)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paired spectrum/supplementary uplink</w:t>
            </w:r>
          </w:p>
        </w:tc>
        <w:tc>
          <w:tcPr>
            <w:tcW w:w="5237"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FR1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-2457600*ln(1-0.01) = 24700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4223" w:type="dxa"/>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FR2 and unpaired spectrum</w:t>
            </w:r>
          </w:p>
        </w:tc>
        <w:tc>
          <w:tcPr>
            <w:tcW w:w="5237" w:type="dxa"/>
            <w:vAlign w:val="top"/>
          </w:tcPr>
          <w:p>
            <w:pPr>
              <w:keepNext w:val="0"/>
              <w:keepLines w:val="0"/>
              <w:widowControl/>
              <w:suppressLineNumbers w:val="0"/>
              <w:jc w:val="center"/>
              <w:textAlignment w:val="top"/>
              <w:rPr>
                <w:rFonts w:hint="eastAsia" w:ascii="微软雅黑" w:hAnsi="微软雅黑" w:eastAsia="微软雅黑" w:cs="微软雅黑"/>
                <w:i w:val="0"/>
                <w:color w:val="000000"/>
                <w:kern w:val="0"/>
                <w:sz w:val="16"/>
                <w:szCs w:val="16"/>
                <w:u w:val="none"/>
                <w:lang w:val="en-US" w:eastAsia="zh-CN" w:bidi="ar"/>
              </w:rPr>
            </w:pPr>
            <w:r>
              <w:rPr>
                <w:rFonts w:hint="eastAsia" w:ascii="微软雅黑" w:hAnsi="微软雅黑" w:eastAsia="微软雅黑" w:cs="微软雅黑"/>
                <w:i w:val="0"/>
                <w:color w:val="000000"/>
                <w:kern w:val="0"/>
                <w:sz w:val="16"/>
                <w:szCs w:val="16"/>
                <w:u w:val="none"/>
                <w:lang w:val="en-US" w:eastAsia="zh-CN" w:bidi="ar"/>
              </w:rPr>
              <w:t>-7168000*ln(1-0.01) = 72041</w:t>
            </w:r>
          </w:p>
        </w:tc>
      </w:tr>
    </w:tbl>
    <w:p>
      <w:pPr>
        <w:jc w:val="both"/>
        <w:rPr>
          <w:rFonts w:hint="eastAsia"/>
          <w:b/>
          <w:bCs/>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7. Max User density supported for </w:t>
      </w:r>
      <w:r>
        <w:rPr>
          <w:rFonts w:hint="default"/>
          <w:b/>
          <w:bCs/>
          <w:lang w:val="en-US" w:eastAsia="zh-CN"/>
        </w:rPr>
        <w:t>“</w:t>
      </w:r>
      <w:r>
        <w:rPr>
          <w:rFonts w:hint="eastAsia"/>
          <w:b/>
          <w:bCs/>
          <w:lang w:val="en-US" w:eastAsia="zh-CN"/>
        </w:rPr>
        <w:t>FR1 and paired spectrum</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FR2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86431.9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43216.0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10804.0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5402.0</w:t>
            </w:r>
          </w:p>
        </w:tc>
      </w:tr>
    </w:tbl>
    <w:p>
      <w:pPr>
        <w:rPr>
          <w:rFonts w:hint="eastAsia" w:eastAsia="宋体"/>
          <w:lang w:val="en-US" w:eastAsia="zh-CN"/>
        </w:rPr>
      </w:pPr>
    </w:p>
    <w:p>
      <w:pPr>
        <w:numPr>
          <w:ilvl w:val="0"/>
          <w:numId w:val="0"/>
        </w:numPr>
        <w:ind w:leftChars="0"/>
        <w:jc w:val="center"/>
        <w:rPr>
          <w:rFonts w:hint="eastAsia"/>
          <w:b/>
          <w:bCs/>
          <w:lang w:val="en-US" w:eastAsia="zh-CN"/>
        </w:rPr>
      </w:pPr>
      <w:r>
        <w:rPr>
          <w:rFonts w:hint="eastAsia"/>
          <w:b/>
          <w:bCs/>
          <w:lang w:val="en-US" w:eastAsia="zh-CN"/>
        </w:rPr>
        <w:t xml:space="preserve">Table 8. Max User density supported for </w:t>
      </w:r>
      <w:r>
        <w:rPr>
          <w:rFonts w:hint="default"/>
          <w:b/>
          <w:bCs/>
          <w:lang w:val="en-US" w:eastAsia="zh-CN"/>
        </w:rPr>
        <w:t>“</w:t>
      </w:r>
      <w:r>
        <w:rPr>
          <w:rFonts w:hint="eastAsia"/>
          <w:b/>
          <w:bCs/>
          <w:lang w:val="en-US" w:eastAsia="zh-CN"/>
        </w:rPr>
        <w:t>FR1 and unpaired spectrum</w:t>
      </w:r>
      <w:r>
        <w:rPr>
          <w:rFonts w:hint="default"/>
          <w:b/>
          <w:bCs/>
          <w:lang w:val="en-US" w:eastAsia="zh-CN"/>
        </w:rPr>
        <w:t>”</w:t>
      </w:r>
    </w:p>
    <w:tbl>
      <w:tblPr>
        <w:tblStyle w:val="66"/>
        <w:tblW w:w="7315" w:type="dxa"/>
        <w:jc w:val="center"/>
        <w:tblInd w:w="1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1979"/>
        <w:gridCol w:w="1979"/>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378" w:type="dxa"/>
            <w:vMerge w:val="restart"/>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Cell coverage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(km2)</w:t>
            </w:r>
          </w:p>
        </w:tc>
        <w:tc>
          <w:tcPr>
            <w:tcW w:w="5937"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User density can be supported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(UE number/km2)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3" w:hRule="atLeast"/>
          <w:jc w:val="center"/>
        </w:trPr>
        <w:tc>
          <w:tcPr>
            <w:tcW w:w="1378" w:type="dxa"/>
            <w:vMerge w:val="continue"/>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RACH requirement per UE = 0.00001667</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leftChars="0" w:firstLine="0" w:firstLineChars="0"/>
              <w:jc w:val="center"/>
              <w:textAlignment w:val="auto"/>
              <w:outlineLvl w:val="9"/>
              <w:rPr>
                <w:rFonts w:hint="eastAsia" w:ascii="微软雅黑" w:hAnsi="微软雅黑" w:eastAsia="微软雅黑" w:cs="微软雅黑"/>
                <w:b/>
                <w:bCs/>
                <w:i w:val="0"/>
                <w:color w:val="000000"/>
                <w:kern w:val="0"/>
                <w:sz w:val="16"/>
                <w:szCs w:val="16"/>
                <w:u w:val="none"/>
                <w:lang w:val="en-US" w:eastAsia="zh-CN" w:bidi="ar"/>
              </w:rPr>
            </w:pPr>
            <w:r>
              <w:rPr>
                <w:rFonts w:hint="eastAsia" w:ascii="微软雅黑" w:hAnsi="微软雅黑" w:eastAsia="微软雅黑" w:cs="微软雅黑"/>
                <w:b/>
                <w:bCs/>
                <w:i w:val="0"/>
                <w:color w:val="000000"/>
                <w:kern w:val="0"/>
                <w:sz w:val="16"/>
                <w:szCs w:val="16"/>
                <w:u w:val="none"/>
                <w:lang w:val="en-US" w:eastAsia="zh-CN" w:bidi="ar"/>
              </w:rPr>
              <w:t>attempts per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w:t>
            </w:r>
          </w:p>
        </w:tc>
        <w:tc>
          <w:tcPr>
            <w:tcW w:w="1979"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50000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29634.1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100000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14817.0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400000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3704.3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1378"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outlineLvl w:val="9"/>
              <w:rPr>
                <w:rFonts w:hint="eastAsia"/>
                <w:vertAlign w:val="baseline"/>
                <w:lang w:val="en-US" w:eastAsia="zh-CN"/>
              </w:rPr>
            </w:pPr>
            <w:r>
              <w:rPr>
                <w:rFonts w:hint="eastAsia"/>
                <w:vertAlign w:val="baseline"/>
                <w:lang w:val="en-US" w:eastAsia="zh-CN"/>
              </w:rPr>
              <w:t>800000</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w:t>
            </w:r>
          </w:p>
        </w:tc>
        <w:tc>
          <w:tcPr>
            <w:tcW w:w="197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center"/>
              <w:textAlignment w:val="auto"/>
              <w:outlineLvl w:val="9"/>
              <w:rPr>
                <w:rFonts w:hint="eastAsia"/>
                <w:vertAlign w:val="baseline"/>
                <w:lang w:val="en-US" w:eastAsia="zh-CN"/>
              </w:rPr>
            </w:pPr>
            <w:r>
              <w:rPr>
                <w:rFonts w:hint="eastAsia"/>
                <w:vertAlign w:val="baseline"/>
                <w:lang w:val="en-US" w:eastAsia="zh-CN"/>
              </w:rPr>
              <w:t>1852.1</w:t>
            </w:r>
          </w:p>
        </w:tc>
      </w:tr>
    </w:tbl>
    <w:p>
      <w:pPr>
        <w:jc w:val="both"/>
        <w:rPr>
          <w:rFonts w:hint="eastAsia"/>
          <w:b/>
          <w:bCs/>
          <w:lang w:val="en-US" w:eastAsia="zh-CN"/>
        </w:rPr>
      </w:pPr>
    </w:p>
    <w:p>
      <w:pPr>
        <w:jc w:val="both"/>
        <w:rPr>
          <w:rFonts w:hint="eastAsia"/>
          <w:b/>
          <w:bCs/>
          <w:lang w:val="en-US" w:eastAsia="zh-CN"/>
        </w:rPr>
      </w:pPr>
      <w:r>
        <w:rPr>
          <w:rFonts w:hint="eastAsia"/>
          <w:b/>
          <w:bCs/>
          <w:lang w:val="en-US" w:eastAsia="zh-CN"/>
        </w:rPr>
        <w:t xml:space="preserve">Proposal 3: The RACH capacity in </w:t>
      </w:r>
      <w:r>
        <w:rPr>
          <w:rFonts w:hint="eastAsia"/>
          <w:b/>
        </w:rPr>
        <w:t>non-terrestrial-network should be improved</w:t>
      </w:r>
      <w:r>
        <w:rPr>
          <w:rFonts w:hint="eastAsia"/>
          <w:b/>
          <w:bCs/>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8"/>
        </w:numPr>
        <w:ind w:firstLineChars="0"/>
      </w:pPr>
      <w:r>
        <w:rPr>
          <w:rFonts w:hint="eastAsia"/>
          <w:lang w:val="en-US" w:eastAsia="zh-CN"/>
        </w:rPr>
        <w:t>TS 38.331, NR - Radio Resource Control (RRC) protocol specification, R15</w:t>
      </w:r>
    </w:p>
    <w:p>
      <w:pPr>
        <w:pStyle w:val="68"/>
        <w:numPr>
          <w:ilvl w:val="0"/>
          <w:numId w:val="8"/>
        </w:numPr>
        <w:ind w:firstLineChars="0"/>
        <w:rPr>
          <w:lang w:val="en-US"/>
        </w:rPr>
      </w:pPr>
      <w:r>
        <w:rPr>
          <w:rFonts w:hint="eastAsia"/>
          <w:lang w:val="en-US" w:eastAsia="zh-CN"/>
        </w:rPr>
        <w:t>TR 38.811, Study on New Radio (NR) to support non terrestrial networks, R15</w:t>
      </w:r>
    </w:p>
    <w:p>
      <w:pPr>
        <w:pStyle w:val="68"/>
        <w:numPr>
          <w:ilvl w:val="0"/>
          <w:numId w:val="8"/>
        </w:numPr>
        <w:ind w:firstLineChars="0"/>
        <w:rPr>
          <w:color w:val="000000"/>
          <w:lang w:val="en-US"/>
        </w:rPr>
      </w:pPr>
      <w:r>
        <w:rPr>
          <w:color w:val="000000"/>
        </w:rPr>
        <w:t>R1-061369</w:t>
      </w:r>
      <w:r>
        <w:rPr>
          <w:rFonts w:hint="eastAsia"/>
          <w:color w:val="000000"/>
          <w:lang w:val="en-US" w:eastAsia="zh-CN"/>
        </w:rPr>
        <w:t xml:space="preserve">, </w:t>
      </w:r>
      <w:r>
        <w:rPr>
          <w:color w:val="000000"/>
        </w:rPr>
        <w:t>LTE random-access capacity and collision probability</w:t>
      </w:r>
      <w:r>
        <w:rPr>
          <w:rFonts w:hint="eastAsia"/>
          <w:color w:val="000000"/>
          <w:lang w:val="en-US" w:eastAsia="zh-CN"/>
        </w:rPr>
        <w:t xml:space="preserve">, </w:t>
      </w:r>
      <w:r>
        <w:rPr>
          <w:color w:val="000000"/>
        </w:rPr>
        <w:t>Ericsson</w:t>
      </w:r>
    </w:p>
    <w:p>
      <w:pPr>
        <w:pStyle w:val="68"/>
        <w:numPr>
          <w:ilvl w:val="0"/>
          <w:numId w:val="8"/>
        </w:numPr>
        <w:ind w:firstLineChars="0"/>
        <w:rPr>
          <w:color w:val="000000"/>
          <w:lang w:val="en-US"/>
        </w:rPr>
      </w:pPr>
      <w:r>
        <w:rPr>
          <w:color w:val="000000"/>
        </w:rPr>
        <w:t>R1-1709895</w:t>
      </w:r>
      <w:r>
        <w:rPr>
          <w:rFonts w:hint="eastAsia"/>
          <w:color w:val="000000"/>
          <w:lang w:val="en-US" w:eastAsia="zh-CN"/>
        </w:rPr>
        <w:t xml:space="preserve">, </w:t>
      </w:r>
      <w:r>
        <w:rPr>
          <w:color w:val="000000"/>
          <w:lang w:eastAsia="ko-KR"/>
        </w:rPr>
        <w:t>NR-PRACH formats: capacity enhancements and other use cases</w:t>
      </w:r>
      <w:r>
        <w:rPr>
          <w:rFonts w:hint="eastAsia"/>
          <w:color w:val="000000"/>
          <w:lang w:val="en-US" w:eastAsia="zh-CN"/>
        </w:rPr>
        <w:t>, ZTE</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89560C"/>
    <w:multiLevelType w:val="singleLevel"/>
    <w:tmpl w:val="8E89560C"/>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E5C58E5"/>
    <w:multiLevelType w:val="multilevel"/>
    <w:tmpl w:val="1E5C58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41BE473"/>
    <w:multiLevelType w:val="singleLevel"/>
    <w:tmpl w:val="541BE473"/>
    <w:lvl w:ilvl="0" w:tentative="0">
      <w:start w:val="1"/>
      <w:numFmt w:val="bullet"/>
      <w:lvlText w:val=""/>
      <w:lvlJc w:val="left"/>
      <w:pPr>
        <w:ind w:left="420" w:hanging="420"/>
      </w:pPr>
      <w:rPr>
        <w:rFonts w:hint="default" w:ascii="Wingdings" w:hAnsi="Wingdings"/>
      </w:rPr>
    </w:lvl>
  </w:abstractNum>
  <w:abstractNum w:abstractNumId="7">
    <w:nsid w:val="6EA52ACD"/>
    <w:multiLevelType w:val="singleLevel"/>
    <w:tmpl w:val="6EA52ACD"/>
    <w:lvl w:ilvl="0" w:tentative="0">
      <w:start w:val="1"/>
      <w:numFmt w:val="bullet"/>
      <w:lvlText w:val=""/>
      <w:lvlJc w:val="left"/>
      <w:pPr>
        <w:ind w:left="420" w:hanging="420"/>
      </w:pPr>
      <w:rPr>
        <w:rFonts w:hint="default" w:ascii="Wingdings" w:hAnsi="Wingdings"/>
      </w:rPr>
    </w:lvl>
  </w:abstractNum>
  <w:num w:numId="1">
    <w:abstractNumId w:val="1"/>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5B6E"/>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65E"/>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123"/>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51D54"/>
    <w:rsid w:val="01163216"/>
    <w:rsid w:val="01824D8F"/>
    <w:rsid w:val="01F6071A"/>
    <w:rsid w:val="02105BCC"/>
    <w:rsid w:val="0213188C"/>
    <w:rsid w:val="02420864"/>
    <w:rsid w:val="02437D3E"/>
    <w:rsid w:val="024B45DB"/>
    <w:rsid w:val="025E4300"/>
    <w:rsid w:val="027F11AC"/>
    <w:rsid w:val="028470E8"/>
    <w:rsid w:val="02B219C0"/>
    <w:rsid w:val="02C27DEA"/>
    <w:rsid w:val="02C57546"/>
    <w:rsid w:val="02EB2A7B"/>
    <w:rsid w:val="0308046A"/>
    <w:rsid w:val="030A321B"/>
    <w:rsid w:val="03382D9F"/>
    <w:rsid w:val="03390ECE"/>
    <w:rsid w:val="033F5DF4"/>
    <w:rsid w:val="03CD3963"/>
    <w:rsid w:val="03D30B6D"/>
    <w:rsid w:val="04115871"/>
    <w:rsid w:val="04176266"/>
    <w:rsid w:val="04231D6E"/>
    <w:rsid w:val="04295CB0"/>
    <w:rsid w:val="043E3BD3"/>
    <w:rsid w:val="04746FED"/>
    <w:rsid w:val="047E4A8F"/>
    <w:rsid w:val="04865192"/>
    <w:rsid w:val="048E11A9"/>
    <w:rsid w:val="04C665CA"/>
    <w:rsid w:val="04CE3C70"/>
    <w:rsid w:val="04D7059C"/>
    <w:rsid w:val="04FC2636"/>
    <w:rsid w:val="0536681D"/>
    <w:rsid w:val="054034C0"/>
    <w:rsid w:val="054C7D1C"/>
    <w:rsid w:val="05916BB0"/>
    <w:rsid w:val="05B63D95"/>
    <w:rsid w:val="05F7165D"/>
    <w:rsid w:val="06017CE0"/>
    <w:rsid w:val="06365B50"/>
    <w:rsid w:val="06393E16"/>
    <w:rsid w:val="064F7BF6"/>
    <w:rsid w:val="06561355"/>
    <w:rsid w:val="065E6CDE"/>
    <w:rsid w:val="068A20E4"/>
    <w:rsid w:val="06A516FE"/>
    <w:rsid w:val="06AD4A8E"/>
    <w:rsid w:val="06B82D78"/>
    <w:rsid w:val="06BC0E1B"/>
    <w:rsid w:val="073A2A17"/>
    <w:rsid w:val="07427D51"/>
    <w:rsid w:val="075932BF"/>
    <w:rsid w:val="07847096"/>
    <w:rsid w:val="07AA66EA"/>
    <w:rsid w:val="07CE2E21"/>
    <w:rsid w:val="08242518"/>
    <w:rsid w:val="08290E07"/>
    <w:rsid w:val="083A7B9E"/>
    <w:rsid w:val="088B5031"/>
    <w:rsid w:val="088F268A"/>
    <w:rsid w:val="08B51BA5"/>
    <w:rsid w:val="091F1E33"/>
    <w:rsid w:val="0926712F"/>
    <w:rsid w:val="093F645D"/>
    <w:rsid w:val="094F44E3"/>
    <w:rsid w:val="098C23B7"/>
    <w:rsid w:val="09A2202C"/>
    <w:rsid w:val="0A11579C"/>
    <w:rsid w:val="0A41647C"/>
    <w:rsid w:val="0A436C11"/>
    <w:rsid w:val="0A516FC2"/>
    <w:rsid w:val="0AA77F22"/>
    <w:rsid w:val="0AAE3FA8"/>
    <w:rsid w:val="0AB159C7"/>
    <w:rsid w:val="0AD647A5"/>
    <w:rsid w:val="0B24396B"/>
    <w:rsid w:val="0B49387C"/>
    <w:rsid w:val="0B560B94"/>
    <w:rsid w:val="0B801BFD"/>
    <w:rsid w:val="0B94771A"/>
    <w:rsid w:val="0BE57B4E"/>
    <w:rsid w:val="0BF83F28"/>
    <w:rsid w:val="0C3159A8"/>
    <w:rsid w:val="0C40046F"/>
    <w:rsid w:val="0C755CB5"/>
    <w:rsid w:val="0CB04A70"/>
    <w:rsid w:val="0CCC596D"/>
    <w:rsid w:val="0CE46F4E"/>
    <w:rsid w:val="0CFF1F19"/>
    <w:rsid w:val="0D064EBC"/>
    <w:rsid w:val="0D346C04"/>
    <w:rsid w:val="0D387415"/>
    <w:rsid w:val="0D551567"/>
    <w:rsid w:val="0D610187"/>
    <w:rsid w:val="0D7A3592"/>
    <w:rsid w:val="0E4F3F26"/>
    <w:rsid w:val="0E927861"/>
    <w:rsid w:val="0EA4482A"/>
    <w:rsid w:val="0EA926E0"/>
    <w:rsid w:val="0EC132D7"/>
    <w:rsid w:val="0EE706CE"/>
    <w:rsid w:val="0EED3321"/>
    <w:rsid w:val="0F0E6CDB"/>
    <w:rsid w:val="0F281C63"/>
    <w:rsid w:val="0F685729"/>
    <w:rsid w:val="0F70152C"/>
    <w:rsid w:val="0FDB1049"/>
    <w:rsid w:val="0FE322F6"/>
    <w:rsid w:val="0FF8213F"/>
    <w:rsid w:val="102F5257"/>
    <w:rsid w:val="103E22B2"/>
    <w:rsid w:val="106E070C"/>
    <w:rsid w:val="10910A6C"/>
    <w:rsid w:val="10E75ECD"/>
    <w:rsid w:val="110F2DD6"/>
    <w:rsid w:val="111E737C"/>
    <w:rsid w:val="11326A3E"/>
    <w:rsid w:val="114C7F4B"/>
    <w:rsid w:val="1177404C"/>
    <w:rsid w:val="11AE0D97"/>
    <w:rsid w:val="11C62353"/>
    <w:rsid w:val="11C84650"/>
    <w:rsid w:val="11E01EB5"/>
    <w:rsid w:val="11FA1020"/>
    <w:rsid w:val="11FD0D0E"/>
    <w:rsid w:val="12112075"/>
    <w:rsid w:val="12146A64"/>
    <w:rsid w:val="12535206"/>
    <w:rsid w:val="12654C47"/>
    <w:rsid w:val="12B324BD"/>
    <w:rsid w:val="12E01D7B"/>
    <w:rsid w:val="134D4C23"/>
    <w:rsid w:val="1357550B"/>
    <w:rsid w:val="136F6693"/>
    <w:rsid w:val="13864479"/>
    <w:rsid w:val="13933000"/>
    <w:rsid w:val="139C112D"/>
    <w:rsid w:val="13D51367"/>
    <w:rsid w:val="140947EE"/>
    <w:rsid w:val="144070CB"/>
    <w:rsid w:val="14497D9E"/>
    <w:rsid w:val="144A0D85"/>
    <w:rsid w:val="145A1D5A"/>
    <w:rsid w:val="146C12BB"/>
    <w:rsid w:val="148C237F"/>
    <w:rsid w:val="149A6BBE"/>
    <w:rsid w:val="14A06FC1"/>
    <w:rsid w:val="14A1476D"/>
    <w:rsid w:val="14B94964"/>
    <w:rsid w:val="15337D09"/>
    <w:rsid w:val="155D0A7F"/>
    <w:rsid w:val="1580763A"/>
    <w:rsid w:val="15DD4A1C"/>
    <w:rsid w:val="16204509"/>
    <w:rsid w:val="16263368"/>
    <w:rsid w:val="168521B8"/>
    <w:rsid w:val="16A5270A"/>
    <w:rsid w:val="16D61CD9"/>
    <w:rsid w:val="16D97E65"/>
    <w:rsid w:val="16DF31F5"/>
    <w:rsid w:val="16E74CBD"/>
    <w:rsid w:val="17085F29"/>
    <w:rsid w:val="17486EE9"/>
    <w:rsid w:val="175161A8"/>
    <w:rsid w:val="175B1D16"/>
    <w:rsid w:val="179C79A4"/>
    <w:rsid w:val="17D52F7B"/>
    <w:rsid w:val="17F5084F"/>
    <w:rsid w:val="180409DF"/>
    <w:rsid w:val="18440068"/>
    <w:rsid w:val="18502972"/>
    <w:rsid w:val="186B0726"/>
    <w:rsid w:val="190C6AF2"/>
    <w:rsid w:val="190E7C32"/>
    <w:rsid w:val="191F38B0"/>
    <w:rsid w:val="1951139B"/>
    <w:rsid w:val="1975293B"/>
    <w:rsid w:val="19A6344F"/>
    <w:rsid w:val="19BC030D"/>
    <w:rsid w:val="19E0148D"/>
    <w:rsid w:val="1A181630"/>
    <w:rsid w:val="1A5562D2"/>
    <w:rsid w:val="1AD6153D"/>
    <w:rsid w:val="1AD943FB"/>
    <w:rsid w:val="1ADA55B5"/>
    <w:rsid w:val="1ADC1643"/>
    <w:rsid w:val="1ADF0AC1"/>
    <w:rsid w:val="1B192659"/>
    <w:rsid w:val="1B400993"/>
    <w:rsid w:val="1B53026F"/>
    <w:rsid w:val="1BE16AFC"/>
    <w:rsid w:val="1BEC65C0"/>
    <w:rsid w:val="1C3441A7"/>
    <w:rsid w:val="1C365CFE"/>
    <w:rsid w:val="1C7C5F29"/>
    <w:rsid w:val="1CC05CC7"/>
    <w:rsid w:val="1CCC2D90"/>
    <w:rsid w:val="1CD66AF0"/>
    <w:rsid w:val="1CDD03D0"/>
    <w:rsid w:val="1CE122CF"/>
    <w:rsid w:val="1D043406"/>
    <w:rsid w:val="1D2F1D46"/>
    <w:rsid w:val="1D51270F"/>
    <w:rsid w:val="1DBD16BE"/>
    <w:rsid w:val="1E171BF8"/>
    <w:rsid w:val="1E2B3BCE"/>
    <w:rsid w:val="1E312DF8"/>
    <w:rsid w:val="1E4B77EA"/>
    <w:rsid w:val="1E5F399D"/>
    <w:rsid w:val="1E780410"/>
    <w:rsid w:val="1E8E5EF5"/>
    <w:rsid w:val="1EB52AA7"/>
    <w:rsid w:val="1EC76DC7"/>
    <w:rsid w:val="1EC85A19"/>
    <w:rsid w:val="1ED92D03"/>
    <w:rsid w:val="1EF0541B"/>
    <w:rsid w:val="1F1B6A59"/>
    <w:rsid w:val="1F235508"/>
    <w:rsid w:val="1F444220"/>
    <w:rsid w:val="1F517B8E"/>
    <w:rsid w:val="1F904F2D"/>
    <w:rsid w:val="1FCC292E"/>
    <w:rsid w:val="1FD81AFC"/>
    <w:rsid w:val="1FE31889"/>
    <w:rsid w:val="20494663"/>
    <w:rsid w:val="206D77FE"/>
    <w:rsid w:val="20766B5D"/>
    <w:rsid w:val="207C5A77"/>
    <w:rsid w:val="20A56834"/>
    <w:rsid w:val="20CC063E"/>
    <w:rsid w:val="210114BB"/>
    <w:rsid w:val="21032FD7"/>
    <w:rsid w:val="21654E45"/>
    <w:rsid w:val="21737460"/>
    <w:rsid w:val="2176492F"/>
    <w:rsid w:val="21E26D67"/>
    <w:rsid w:val="21FC4A83"/>
    <w:rsid w:val="220348F7"/>
    <w:rsid w:val="226709A2"/>
    <w:rsid w:val="232C4CFE"/>
    <w:rsid w:val="234E59AA"/>
    <w:rsid w:val="23FF6629"/>
    <w:rsid w:val="248C391F"/>
    <w:rsid w:val="249700EF"/>
    <w:rsid w:val="24984BD2"/>
    <w:rsid w:val="24C05F49"/>
    <w:rsid w:val="24C72463"/>
    <w:rsid w:val="24D557A1"/>
    <w:rsid w:val="250643D3"/>
    <w:rsid w:val="250B6210"/>
    <w:rsid w:val="25493BC7"/>
    <w:rsid w:val="25BF5B38"/>
    <w:rsid w:val="25CD3FBC"/>
    <w:rsid w:val="25E540FF"/>
    <w:rsid w:val="25FE3FFD"/>
    <w:rsid w:val="261C5644"/>
    <w:rsid w:val="26533224"/>
    <w:rsid w:val="26C54B9B"/>
    <w:rsid w:val="26C6512F"/>
    <w:rsid w:val="277A4DD6"/>
    <w:rsid w:val="27A449A7"/>
    <w:rsid w:val="27A85DA8"/>
    <w:rsid w:val="27BC433E"/>
    <w:rsid w:val="27E63AB6"/>
    <w:rsid w:val="27F231DD"/>
    <w:rsid w:val="285C6B52"/>
    <w:rsid w:val="2887164E"/>
    <w:rsid w:val="28A843B1"/>
    <w:rsid w:val="28EB1022"/>
    <w:rsid w:val="28F25FFC"/>
    <w:rsid w:val="28FA46CB"/>
    <w:rsid w:val="293B67E1"/>
    <w:rsid w:val="29432D6A"/>
    <w:rsid w:val="298D0F22"/>
    <w:rsid w:val="29B025A4"/>
    <w:rsid w:val="29C86752"/>
    <w:rsid w:val="2A3D3E66"/>
    <w:rsid w:val="2A460495"/>
    <w:rsid w:val="2A9E60D9"/>
    <w:rsid w:val="2AA07DD6"/>
    <w:rsid w:val="2AAA79B8"/>
    <w:rsid w:val="2AC43F9F"/>
    <w:rsid w:val="2B0738F0"/>
    <w:rsid w:val="2B0E0F65"/>
    <w:rsid w:val="2B3B7B48"/>
    <w:rsid w:val="2B510311"/>
    <w:rsid w:val="2B5E42EB"/>
    <w:rsid w:val="2B610BE8"/>
    <w:rsid w:val="2B7D13CC"/>
    <w:rsid w:val="2B8818E3"/>
    <w:rsid w:val="2BA13AB1"/>
    <w:rsid w:val="2BC80632"/>
    <w:rsid w:val="2BD94617"/>
    <w:rsid w:val="2BDD4799"/>
    <w:rsid w:val="2C09575E"/>
    <w:rsid w:val="2C0B5A6A"/>
    <w:rsid w:val="2C4C5BF6"/>
    <w:rsid w:val="2C823902"/>
    <w:rsid w:val="2CBB5533"/>
    <w:rsid w:val="2CE04532"/>
    <w:rsid w:val="2DD73448"/>
    <w:rsid w:val="2DE70634"/>
    <w:rsid w:val="2E225A24"/>
    <w:rsid w:val="2E521973"/>
    <w:rsid w:val="2E5A3350"/>
    <w:rsid w:val="2EAD6133"/>
    <w:rsid w:val="2EB259EE"/>
    <w:rsid w:val="2ED237F3"/>
    <w:rsid w:val="2F4558F1"/>
    <w:rsid w:val="2F4F54C3"/>
    <w:rsid w:val="2F784790"/>
    <w:rsid w:val="2F7B36A8"/>
    <w:rsid w:val="2FAA5E1A"/>
    <w:rsid w:val="2FAB4623"/>
    <w:rsid w:val="2FDF6214"/>
    <w:rsid w:val="300A43D0"/>
    <w:rsid w:val="30264A9E"/>
    <w:rsid w:val="302E6167"/>
    <w:rsid w:val="3095526B"/>
    <w:rsid w:val="309F15B5"/>
    <w:rsid w:val="30FD79BE"/>
    <w:rsid w:val="3100405D"/>
    <w:rsid w:val="315D1164"/>
    <w:rsid w:val="317D0948"/>
    <w:rsid w:val="317D6B35"/>
    <w:rsid w:val="31B62FDB"/>
    <w:rsid w:val="31FF4B7E"/>
    <w:rsid w:val="32983099"/>
    <w:rsid w:val="32AA5592"/>
    <w:rsid w:val="32E75DA8"/>
    <w:rsid w:val="32F653C3"/>
    <w:rsid w:val="33052E5A"/>
    <w:rsid w:val="332610BF"/>
    <w:rsid w:val="337C27BA"/>
    <w:rsid w:val="3386250E"/>
    <w:rsid w:val="33B44D6A"/>
    <w:rsid w:val="33E75242"/>
    <w:rsid w:val="341101EA"/>
    <w:rsid w:val="341D584E"/>
    <w:rsid w:val="34217FBA"/>
    <w:rsid w:val="344A237C"/>
    <w:rsid w:val="34717DC6"/>
    <w:rsid w:val="34FE72C7"/>
    <w:rsid w:val="35155336"/>
    <w:rsid w:val="351F4211"/>
    <w:rsid w:val="35262532"/>
    <w:rsid w:val="353A08BE"/>
    <w:rsid w:val="357039DD"/>
    <w:rsid w:val="35906EE4"/>
    <w:rsid w:val="35BA1AEE"/>
    <w:rsid w:val="35BA71E0"/>
    <w:rsid w:val="361560B7"/>
    <w:rsid w:val="36333FF4"/>
    <w:rsid w:val="36487758"/>
    <w:rsid w:val="364936C7"/>
    <w:rsid w:val="36582751"/>
    <w:rsid w:val="36645310"/>
    <w:rsid w:val="368D5D06"/>
    <w:rsid w:val="3722586F"/>
    <w:rsid w:val="3728134E"/>
    <w:rsid w:val="378C59A0"/>
    <w:rsid w:val="37A15AB9"/>
    <w:rsid w:val="37A54601"/>
    <w:rsid w:val="37D1690E"/>
    <w:rsid w:val="37E474EC"/>
    <w:rsid w:val="37E93735"/>
    <w:rsid w:val="383652ED"/>
    <w:rsid w:val="38682A17"/>
    <w:rsid w:val="38AC792F"/>
    <w:rsid w:val="38BB1341"/>
    <w:rsid w:val="3909782E"/>
    <w:rsid w:val="392642AC"/>
    <w:rsid w:val="397059EB"/>
    <w:rsid w:val="397F6449"/>
    <w:rsid w:val="398028B7"/>
    <w:rsid w:val="39AD0862"/>
    <w:rsid w:val="3A074B96"/>
    <w:rsid w:val="3A19437E"/>
    <w:rsid w:val="3A3A0854"/>
    <w:rsid w:val="3A4A6214"/>
    <w:rsid w:val="3A6A57DE"/>
    <w:rsid w:val="3AD71F6B"/>
    <w:rsid w:val="3B1D50E8"/>
    <w:rsid w:val="3B82605A"/>
    <w:rsid w:val="3BC4115E"/>
    <w:rsid w:val="3BCD4D79"/>
    <w:rsid w:val="3BD051B9"/>
    <w:rsid w:val="3BDD010E"/>
    <w:rsid w:val="3BE85FC8"/>
    <w:rsid w:val="3BFF77BC"/>
    <w:rsid w:val="3C1A6E6A"/>
    <w:rsid w:val="3C1E31A0"/>
    <w:rsid w:val="3C2016F2"/>
    <w:rsid w:val="3C224EAA"/>
    <w:rsid w:val="3C350589"/>
    <w:rsid w:val="3C456A68"/>
    <w:rsid w:val="3C4F16C1"/>
    <w:rsid w:val="3C862930"/>
    <w:rsid w:val="3C9A2A62"/>
    <w:rsid w:val="3CD14649"/>
    <w:rsid w:val="3CEF6FCC"/>
    <w:rsid w:val="3D04283C"/>
    <w:rsid w:val="3D177553"/>
    <w:rsid w:val="3D193DF3"/>
    <w:rsid w:val="3D246E5A"/>
    <w:rsid w:val="3D27259C"/>
    <w:rsid w:val="3D4A1496"/>
    <w:rsid w:val="3D4E2B83"/>
    <w:rsid w:val="3D870953"/>
    <w:rsid w:val="3DBD07E2"/>
    <w:rsid w:val="3DE976C2"/>
    <w:rsid w:val="3E3976D3"/>
    <w:rsid w:val="3E3D4401"/>
    <w:rsid w:val="3E7C330F"/>
    <w:rsid w:val="3F062562"/>
    <w:rsid w:val="3F0644E9"/>
    <w:rsid w:val="3F24498F"/>
    <w:rsid w:val="3F4F005D"/>
    <w:rsid w:val="3F8D1F32"/>
    <w:rsid w:val="3F970FDB"/>
    <w:rsid w:val="402E54E8"/>
    <w:rsid w:val="403B29C9"/>
    <w:rsid w:val="403B53C3"/>
    <w:rsid w:val="407A57A2"/>
    <w:rsid w:val="40814873"/>
    <w:rsid w:val="40A02AED"/>
    <w:rsid w:val="40D506EB"/>
    <w:rsid w:val="415347E5"/>
    <w:rsid w:val="41AA6FCA"/>
    <w:rsid w:val="421604DA"/>
    <w:rsid w:val="42835033"/>
    <w:rsid w:val="42A551B5"/>
    <w:rsid w:val="42AA7ACD"/>
    <w:rsid w:val="42C52579"/>
    <w:rsid w:val="43124C8D"/>
    <w:rsid w:val="433D0BFC"/>
    <w:rsid w:val="433F610A"/>
    <w:rsid w:val="437E013B"/>
    <w:rsid w:val="43AB56E7"/>
    <w:rsid w:val="43F4135D"/>
    <w:rsid w:val="43F707DC"/>
    <w:rsid w:val="441E042F"/>
    <w:rsid w:val="443950F3"/>
    <w:rsid w:val="445E0466"/>
    <w:rsid w:val="447A4BFE"/>
    <w:rsid w:val="44B67F44"/>
    <w:rsid w:val="44B73E8B"/>
    <w:rsid w:val="44C70D28"/>
    <w:rsid w:val="44CA6E76"/>
    <w:rsid w:val="44F6488D"/>
    <w:rsid w:val="45044A12"/>
    <w:rsid w:val="45282A9A"/>
    <w:rsid w:val="452E3B0E"/>
    <w:rsid w:val="453C14B9"/>
    <w:rsid w:val="454B7DDA"/>
    <w:rsid w:val="4589448D"/>
    <w:rsid w:val="45B51E98"/>
    <w:rsid w:val="45C519C4"/>
    <w:rsid w:val="45FC5A69"/>
    <w:rsid w:val="460556A8"/>
    <w:rsid w:val="461E4FA6"/>
    <w:rsid w:val="463A5899"/>
    <w:rsid w:val="4654512D"/>
    <w:rsid w:val="46606872"/>
    <w:rsid w:val="46A523E8"/>
    <w:rsid w:val="47F31436"/>
    <w:rsid w:val="48083C5D"/>
    <w:rsid w:val="48203A79"/>
    <w:rsid w:val="48246406"/>
    <w:rsid w:val="48376C36"/>
    <w:rsid w:val="48934611"/>
    <w:rsid w:val="48D016DB"/>
    <w:rsid w:val="48D62560"/>
    <w:rsid w:val="48F542D2"/>
    <w:rsid w:val="48FD06CC"/>
    <w:rsid w:val="498D2E01"/>
    <w:rsid w:val="49D815D6"/>
    <w:rsid w:val="49D816F4"/>
    <w:rsid w:val="49EA3EF3"/>
    <w:rsid w:val="49FD72F4"/>
    <w:rsid w:val="4A38213A"/>
    <w:rsid w:val="4A400586"/>
    <w:rsid w:val="4A7A7FC5"/>
    <w:rsid w:val="4A7B711D"/>
    <w:rsid w:val="4A84675D"/>
    <w:rsid w:val="4AF63C83"/>
    <w:rsid w:val="4B7C1338"/>
    <w:rsid w:val="4B975530"/>
    <w:rsid w:val="4BAA4032"/>
    <w:rsid w:val="4BB7755B"/>
    <w:rsid w:val="4BD545F5"/>
    <w:rsid w:val="4C0846C1"/>
    <w:rsid w:val="4C0E40F8"/>
    <w:rsid w:val="4C50744F"/>
    <w:rsid w:val="4C572817"/>
    <w:rsid w:val="4C6369A7"/>
    <w:rsid w:val="4C644BBF"/>
    <w:rsid w:val="4C653585"/>
    <w:rsid w:val="4C7D636D"/>
    <w:rsid w:val="4CC507D6"/>
    <w:rsid w:val="4CC82FE7"/>
    <w:rsid w:val="4CCB0ABF"/>
    <w:rsid w:val="4CFC55B3"/>
    <w:rsid w:val="4D1E6E23"/>
    <w:rsid w:val="4D285875"/>
    <w:rsid w:val="4D34124D"/>
    <w:rsid w:val="4D4036B7"/>
    <w:rsid w:val="4D4D1D0E"/>
    <w:rsid w:val="4D5A1E97"/>
    <w:rsid w:val="4D64330E"/>
    <w:rsid w:val="4D741B1D"/>
    <w:rsid w:val="4D933021"/>
    <w:rsid w:val="4DAA2A9B"/>
    <w:rsid w:val="4DBA4247"/>
    <w:rsid w:val="4DC73899"/>
    <w:rsid w:val="4DD7573E"/>
    <w:rsid w:val="4E1858BC"/>
    <w:rsid w:val="4E214745"/>
    <w:rsid w:val="4E876A80"/>
    <w:rsid w:val="4E881A6F"/>
    <w:rsid w:val="4EB46112"/>
    <w:rsid w:val="4ECC4E51"/>
    <w:rsid w:val="4FC42854"/>
    <w:rsid w:val="4FE76145"/>
    <w:rsid w:val="4FF7442F"/>
    <w:rsid w:val="4FF92635"/>
    <w:rsid w:val="503C1ED5"/>
    <w:rsid w:val="503C1FA1"/>
    <w:rsid w:val="505E14C8"/>
    <w:rsid w:val="51120212"/>
    <w:rsid w:val="512009A4"/>
    <w:rsid w:val="518F35F9"/>
    <w:rsid w:val="519227B6"/>
    <w:rsid w:val="51A646BE"/>
    <w:rsid w:val="51A86CBD"/>
    <w:rsid w:val="51C47D1F"/>
    <w:rsid w:val="51D10C5E"/>
    <w:rsid w:val="52475989"/>
    <w:rsid w:val="528D53DC"/>
    <w:rsid w:val="52A54636"/>
    <w:rsid w:val="52BB6469"/>
    <w:rsid w:val="52D6007B"/>
    <w:rsid w:val="532F5A3F"/>
    <w:rsid w:val="5346574A"/>
    <w:rsid w:val="53A84A9F"/>
    <w:rsid w:val="5457477E"/>
    <w:rsid w:val="545A5363"/>
    <w:rsid w:val="547337B1"/>
    <w:rsid w:val="548F58A2"/>
    <w:rsid w:val="549C3CF7"/>
    <w:rsid w:val="54A6767D"/>
    <w:rsid w:val="54C1659F"/>
    <w:rsid w:val="54CC7DCA"/>
    <w:rsid w:val="54F6543C"/>
    <w:rsid w:val="55301BF9"/>
    <w:rsid w:val="55563B6B"/>
    <w:rsid w:val="55754396"/>
    <w:rsid w:val="557645CB"/>
    <w:rsid w:val="55C12D70"/>
    <w:rsid w:val="55DD5781"/>
    <w:rsid w:val="567965AF"/>
    <w:rsid w:val="568A7FA4"/>
    <w:rsid w:val="56952F1F"/>
    <w:rsid w:val="56E13AAA"/>
    <w:rsid w:val="570D2CE4"/>
    <w:rsid w:val="572C06C7"/>
    <w:rsid w:val="572D6D7C"/>
    <w:rsid w:val="57535F12"/>
    <w:rsid w:val="575E0D61"/>
    <w:rsid w:val="57607C5D"/>
    <w:rsid w:val="576870CE"/>
    <w:rsid w:val="579025E4"/>
    <w:rsid w:val="57A60C6C"/>
    <w:rsid w:val="57BE7879"/>
    <w:rsid w:val="57BF7269"/>
    <w:rsid w:val="58043EA0"/>
    <w:rsid w:val="58EE43A5"/>
    <w:rsid w:val="59324A93"/>
    <w:rsid w:val="598744A3"/>
    <w:rsid w:val="598B4ABD"/>
    <w:rsid w:val="59D97F5F"/>
    <w:rsid w:val="59F22E69"/>
    <w:rsid w:val="5A13072C"/>
    <w:rsid w:val="5A1A6B11"/>
    <w:rsid w:val="5A525FC1"/>
    <w:rsid w:val="5A5B1A93"/>
    <w:rsid w:val="5A6123EF"/>
    <w:rsid w:val="5AE10DCB"/>
    <w:rsid w:val="5B0E5BEB"/>
    <w:rsid w:val="5B1110BF"/>
    <w:rsid w:val="5B3E3B02"/>
    <w:rsid w:val="5B487FEA"/>
    <w:rsid w:val="5B524538"/>
    <w:rsid w:val="5BB85E2E"/>
    <w:rsid w:val="5BF86102"/>
    <w:rsid w:val="5BFC06F8"/>
    <w:rsid w:val="5C251B6A"/>
    <w:rsid w:val="5C2B7E80"/>
    <w:rsid w:val="5C4417DA"/>
    <w:rsid w:val="5C723D2D"/>
    <w:rsid w:val="5D2E30EC"/>
    <w:rsid w:val="5D3D5B2F"/>
    <w:rsid w:val="5D5501F2"/>
    <w:rsid w:val="5DB0276A"/>
    <w:rsid w:val="5E122141"/>
    <w:rsid w:val="5E671789"/>
    <w:rsid w:val="5E6A2D60"/>
    <w:rsid w:val="5E7D69ED"/>
    <w:rsid w:val="5E9B6F9B"/>
    <w:rsid w:val="5F0E2A55"/>
    <w:rsid w:val="5F417E0E"/>
    <w:rsid w:val="5F4A55C6"/>
    <w:rsid w:val="5F9227FA"/>
    <w:rsid w:val="60022F17"/>
    <w:rsid w:val="602316C2"/>
    <w:rsid w:val="603713E2"/>
    <w:rsid w:val="603B2CE8"/>
    <w:rsid w:val="60A26AC3"/>
    <w:rsid w:val="60C758AD"/>
    <w:rsid w:val="60E5198E"/>
    <w:rsid w:val="610E5299"/>
    <w:rsid w:val="615F2167"/>
    <w:rsid w:val="616048EE"/>
    <w:rsid w:val="61653414"/>
    <w:rsid w:val="617D2724"/>
    <w:rsid w:val="61AD6717"/>
    <w:rsid w:val="620058CC"/>
    <w:rsid w:val="62346364"/>
    <w:rsid w:val="624D069F"/>
    <w:rsid w:val="62B6094A"/>
    <w:rsid w:val="635555EB"/>
    <w:rsid w:val="63E9343E"/>
    <w:rsid w:val="63FA66D5"/>
    <w:rsid w:val="63FC1FB2"/>
    <w:rsid w:val="63FF12C6"/>
    <w:rsid w:val="640F43C5"/>
    <w:rsid w:val="64341720"/>
    <w:rsid w:val="64512DAE"/>
    <w:rsid w:val="646A695C"/>
    <w:rsid w:val="64735CFC"/>
    <w:rsid w:val="647D5AC0"/>
    <w:rsid w:val="649A7664"/>
    <w:rsid w:val="64D833A6"/>
    <w:rsid w:val="64ED57E5"/>
    <w:rsid w:val="6521305C"/>
    <w:rsid w:val="6535383A"/>
    <w:rsid w:val="65753498"/>
    <w:rsid w:val="65884515"/>
    <w:rsid w:val="65A22487"/>
    <w:rsid w:val="65EF7DFF"/>
    <w:rsid w:val="669022B7"/>
    <w:rsid w:val="66940A39"/>
    <w:rsid w:val="66B72ED4"/>
    <w:rsid w:val="66CA5E5F"/>
    <w:rsid w:val="66ED62BD"/>
    <w:rsid w:val="67164009"/>
    <w:rsid w:val="671A520A"/>
    <w:rsid w:val="673A2970"/>
    <w:rsid w:val="674A0388"/>
    <w:rsid w:val="67620408"/>
    <w:rsid w:val="678F3A8F"/>
    <w:rsid w:val="67A01BAC"/>
    <w:rsid w:val="67B32B67"/>
    <w:rsid w:val="67CE4F0A"/>
    <w:rsid w:val="67E7052E"/>
    <w:rsid w:val="67F115C8"/>
    <w:rsid w:val="67F65281"/>
    <w:rsid w:val="680509F9"/>
    <w:rsid w:val="680A2685"/>
    <w:rsid w:val="68160768"/>
    <w:rsid w:val="681875C8"/>
    <w:rsid w:val="68486434"/>
    <w:rsid w:val="688C0F38"/>
    <w:rsid w:val="68CA43C6"/>
    <w:rsid w:val="68E7020B"/>
    <w:rsid w:val="6944001B"/>
    <w:rsid w:val="69467A9E"/>
    <w:rsid w:val="6959078C"/>
    <w:rsid w:val="69611F8C"/>
    <w:rsid w:val="69797C2C"/>
    <w:rsid w:val="697B2AE1"/>
    <w:rsid w:val="698014F4"/>
    <w:rsid w:val="69D05E78"/>
    <w:rsid w:val="6A112FF4"/>
    <w:rsid w:val="6A441F0F"/>
    <w:rsid w:val="6ADA4924"/>
    <w:rsid w:val="6AF92ED3"/>
    <w:rsid w:val="6B407F5A"/>
    <w:rsid w:val="6B5A41AF"/>
    <w:rsid w:val="6B6A7091"/>
    <w:rsid w:val="6BD92C40"/>
    <w:rsid w:val="6C415AEC"/>
    <w:rsid w:val="6C477A25"/>
    <w:rsid w:val="6C7976B0"/>
    <w:rsid w:val="6C88422A"/>
    <w:rsid w:val="6CD8427F"/>
    <w:rsid w:val="6CDA05DD"/>
    <w:rsid w:val="6CF27CB7"/>
    <w:rsid w:val="6CFF4FC3"/>
    <w:rsid w:val="6D2B1D59"/>
    <w:rsid w:val="6D442267"/>
    <w:rsid w:val="6DF43B3D"/>
    <w:rsid w:val="6E361F05"/>
    <w:rsid w:val="6E363CDF"/>
    <w:rsid w:val="6E504AF7"/>
    <w:rsid w:val="6E527A2D"/>
    <w:rsid w:val="6E662BF0"/>
    <w:rsid w:val="6E7B5445"/>
    <w:rsid w:val="6E7D33B3"/>
    <w:rsid w:val="6E847F11"/>
    <w:rsid w:val="6ECA5A5F"/>
    <w:rsid w:val="6EE44C0A"/>
    <w:rsid w:val="6EFC3550"/>
    <w:rsid w:val="6F507371"/>
    <w:rsid w:val="6F584596"/>
    <w:rsid w:val="6F886E71"/>
    <w:rsid w:val="6FF27EB0"/>
    <w:rsid w:val="700431D5"/>
    <w:rsid w:val="70853BCC"/>
    <w:rsid w:val="708950D9"/>
    <w:rsid w:val="70916071"/>
    <w:rsid w:val="70B4157B"/>
    <w:rsid w:val="70D76741"/>
    <w:rsid w:val="710A3270"/>
    <w:rsid w:val="71306252"/>
    <w:rsid w:val="716621C1"/>
    <w:rsid w:val="71C5773E"/>
    <w:rsid w:val="71FC4C7C"/>
    <w:rsid w:val="72034A59"/>
    <w:rsid w:val="72251DA4"/>
    <w:rsid w:val="722E7377"/>
    <w:rsid w:val="728114C6"/>
    <w:rsid w:val="729B764A"/>
    <w:rsid w:val="72B375F5"/>
    <w:rsid w:val="72C740ED"/>
    <w:rsid w:val="72C934C3"/>
    <w:rsid w:val="72E673CF"/>
    <w:rsid w:val="72EB533D"/>
    <w:rsid w:val="732B2525"/>
    <w:rsid w:val="736C02A3"/>
    <w:rsid w:val="736D44EF"/>
    <w:rsid w:val="73C97E9E"/>
    <w:rsid w:val="73D40DA2"/>
    <w:rsid w:val="740B3736"/>
    <w:rsid w:val="74131DB4"/>
    <w:rsid w:val="74465350"/>
    <w:rsid w:val="74642251"/>
    <w:rsid w:val="746B647F"/>
    <w:rsid w:val="74B53285"/>
    <w:rsid w:val="74B746E8"/>
    <w:rsid w:val="751B6064"/>
    <w:rsid w:val="752868A0"/>
    <w:rsid w:val="753022BE"/>
    <w:rsid w:val="75530645"/>
    <w:rsid w:val="755F2C4C"/>
    <w:rsid w:val="7594489B"/>
    <w:rsid w:val="7595501B"/>
    <w:rsid w:val="75DF5DB2"/>
    <w:rsid w:val="762E5891"/>
    <w:rsid w:val="7684522D"/>
    <w:rsid w:val="76A67DFC"/>
    <w:rsid w:val="76CE1039"/>
    <w:rsid w:val="76D4238B"/>
    <w:rsid w:val="76F03175"/>
    <w:rsid w:val="770850B6"/>
    <w:rsid w:val="77247AA0"/>
    <w:rsid w:val="772C60B7"/>
    <w:rsid w:val="774515AC"/>
    <w:rsid w:val="776B46B2"/>
    <w:rsid w:val="77817EAC"/>
    <w:rsid w:val="77C80872"/>
    <w:rsid w:val="77D441B7"/>
    <w:rsid w:val="77F16D6F"/>
    <w:rsid w:val="77FD22D0"/>
    <w:rsid w:val="789A7612"/>
    <w:rsid w:val="78A11F78"/>
    <w:rsid w:val="78AF7669"/>
    <w:rsid w:val="78D15EAD"/>
    <w:rsid w:val="78FE6E8B"/>
    <w:rsid w:val="79004FC6"/>
    <w:rsid w:val="79CA5589"/>
    <w:rsid w:val="79D20E8F"/>
    <w:rsid w:val="79F729CB"/>
    <w:rsid w:val="7A550648"/>
    <w:rsid w:val="7A560876"/>
    <w:rsid w:val="7A815634"/>
    <w:rsid w:val="7A9642E8"/>
    <w:rsid w:val="7A996458"/>
    <w:rsid w:val="7AC42EFD"/>
    <w:rsid w:val="7AD54507"/>
    <w:rsid w:val="7B103D83"/>
    <w:rsid w:val="7B2C1EB5"/>
    <w:rsid w:val="7B2F0639"/>
    <w:rsid w:val="7B550266"/>
    <w:rsid w:val="7BC0506C"/>
    <w:rsid w:val="7BF84150"/>
    <w:rsid w:val="7C1643B1"/>
    <w:rsid w:val="7C447A03"/>
    <w:rsid w:val="7C950DB7"/>
    <w:rsid w:val="7CC623BD"/>
    <w:rsid w:val="7CDA27A0"/>
    <w:rsid w:val="7CE048DE"/>
    <w:rsid w:val="7CF40D1F"/>
    <w:rsid w:val="7D013F30"/>
    <w:rsid w:val="7D207A95"/>
    <w:rsid w:val="7D2F5F4B"/>
    <w:rsid w:val="7D487044"/>
    <w:rsid w:val="7DA245E9"/>
    <w:rsid w:val="7DB54C08"/>
    <w:rsid w:val="7E1E5DFA"/>
    <w:rsid w:val="7E45572A"/>
    <w:rsid w:val="7E57165F"/>
    <w:rsid w:val="7E7664ED"/>
    <w:rsid w:val="7EA617D8"/>
    <w:rsid w:val="7EA96A04"/>
    <w:rsid w:val="7EF24838"/>
    <w:rsid w:val="7F084B75"/>
    <w:rsid w:val="7F1262E1"/>
    <w:rsid w:val="7F341B3D"/>
    <w:rsid w:val="7F3D5BBE"/>
    <w:rsid w:val="7F451161"/>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CR Cover Page"/>
    <w:qFormat/>
    <w:uiPriority w:val="0"/>
    <w:pPr>
      <w:spacing w:after="120" w:line="240" w:lineRule="auto"/>
    </w:pPr>
    <w:rPr>
      <w:rFonts w:ascii="Arial" w:hAnsi="Arial" w:eastAsia="Malgun Gothic" w:cs="Times New Roman"/>
      <w:sz w:val="20"/>
      <w:szCs w:val="20"/>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F018D-5417-44AA-BFB7-14BCDE58CFC4}">
  <ds:schemaRefs/>
</ds:datastoreItem>
</file>

<file path=docProps/app.xml><?xml version="1.0" encoding="utf-8"?>
<Properties xmlns="http://schemas.openxmlformats.org/officeDocument/2006/extended-properties" xmlns:vt="http://schemas.openxmlformats.org/officeDocument/2006/docPropsVTypes">
  <Template>Normal</Template>
  <Pages>5</Pages>
  <Words>1201</Words>
  <Characters>6846</Characters>
  <Lines>57</Lines>
  <Paragraphs>16</Paragraphs>
  <TotalTime>0</TotalTime>
  <ScaleCrop>false</ScaleCrop>
  <LinksUpToDate>false</LinksUpToDate>
  <CharactersWithSpaces>8031</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cp:lastModifiedBy>
  <cp:lastPrinted>2113-01-01T00:00:00Z</cp:lastPrinted>
  <dcterms:modified xsi:type="dcterms:W3CDTF">2018-11-02T00:50:49Z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